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C3E" w:rsidRPr="001329C7" w:rsidRDefault="007B4C3E" w:rsidP="00B146EA">
      <w:pPr>
        <w:spacing w:after="0" w:line="240" w:lineRule="auto"/>
        <w:jc w:val="right"/>
        <w:rPr>
          <w:rFonts w:ascii="Alef" w:hAnsi="Alef" w:cs="David"/>
          <w:sz w:val="24"/>
          <w:rtl/>
        </w:rPr>
      </w:pPr>
      <w:r w:rsidRPr="001329C7">
        <w:rPr>
          <w:rFonts w:ascii="Alef" w:hAnsi="Alef" w:cs="David"/>
          <w:sz w:val="24"/>
          <w:rtl/>
        </w:rPr>
        <w:t xml:space="preserve">ירושלים‏‏, </w:t>
      </w:r>
      <w:r w:rsidRPr="001329C7">
        <w:rPr>
          <w:rFonts w:ascii="Alef" w:hAnsi="Alef" w:cs="David" w:hint="eastAsia"/>
          <w:sz w:val="24"/>
          <w:rtl/>
        </w:rPr>
        <w:t>‏</w:t>
      </w:r>
      <w:r w:rsidR="00B146EA">
        <w:rPr>
          <w:rFonts w:ascii="Alef" w:hAnsi="Alef" w:cs="David" w:hint="eastAsia"/>
          <w:sz w:val="24"/>
          <w:rtl/>
        </w:rPr>
        <w:t>‏ח</w:t>
      </w:r>
      <w:r w:rsidR="00B146EA">
        <w:rPr>
          <w:rFonts w:ascii="Alef" w:hAnsi="Alef" w:cs="David"/>
          <w:sz w:val="24"/>
          <w:rtl/>
        </w:rPr>
        <w:t xml:space="preserve">' </w:t>
      </w:r>
      <w:r w:rsidR="00B146EA">
        <w:rPr>
          <w:rFonts w:ascii="Alef" w:hAnsi="Alef" w:cs="David" w:hint="cs"/>
          <w:sz w:val="24"/>
          <w:rtl/>
        </w:rPr>
        <w:t>ב</w:t>
      </w:r>
      <w:r w:rsidR="00B146EA">
        <w:rPr>
          <w:rFonts w:ascii="Alef" w:hAnsi="Alef" w:cs="David"/>
          <w:sz w:val="24"/>
          <w:rtl/>
        </w:rPr>
        <w:t>תשרי תש"פ</w:t>
      </w:r>
    </w:p>
    <w:p w:rsidR="007B4C3E" w:rsidRPr="001329C7" w:rsidRDefault="007B4C3E" w:rsidP="00B146EA">
      <w:pPr>
        <w:bidi w:val="0"/>
        <w:spacing w:after="0" w:line="240" w:lineRule="auto"/>
        <w:rPr>
          <w:rFonts w:ascii="Alef" w:hAnsi="Alef" w:cs="David"/>
          <w:sz w:val="24"/>
        </w:rPr>
      </w:pPr>
      <w:r w:rsidRPr="001329C7">
        <w:rPr>
          <w:rFonts w:ascii="Alef" w:hAnsi="Alef" w:cs="David"/>
          <w:sz w:val="24"/>
          <w:rtl/>
        </w:rPr>
        <w:t>‏‏‏‏‏‏‏‏</w:t>
      </w:r>
      <w:r w:rsidRPr="001329C7">
        <w:rPr>
          <w:rFonts w:ascii="Alef" w:hAnsi="Alef" w:cs="David" w:hint="eastAsia"/>
          <w:sz w:val="24"/>
          <w:rtl/>
        </w:rPr>
        <w:t>‏</w:t>
      </w:r>
      <w:r w:rsidR="00B146EA">
        <w:rPr>
          <w:rFonts w:ascii="Alef" w:hAnsi="Alef" w:cs="David" w:hint="eastAsia"/>
          <w:sz w:val="24"/>
          <w:rtl/>
        </w:rPr>
        <w:t>‏</w:t>
      </w:r>
      <w:r w:rsidR="00B146EA">
        <w:rPr>
          <w:rFonts w:ascii="Alef" w:hAnsi="Alef" w:cs="David"/>
          <w:sz w:val="24"/>
          <w:rtl/>
        </w:rPr>
        <w:t xml:space="preserve">7 </w:t>
      </w:r>
      <w:r w:rsidR="00B146EA">
        <w:rPr>
          <w:rFonts w:ascii="Alef" w:hAnsi="Alef" w:cs="David" w:hint="cs"/>
          <w:sz w:val="24"/>
          <w:rtl/>
        </w:rPr>
        <w:t>ב</w:t>
      </w:r>
      <w:r w:rsidR="00B146EA">
        <w:rPr>
          <w:rFonts w:ascii="Alef" w:hAnsi="Alef" w:cs="David"/>
          <w:sz w:val="24"/>
          <w:rtl/>
        </w:rPr>
        <w:t>אוקטובר 2019</w:t>
      </w:r>
      <w:r w:rsidRPr="001329C7">
        <w:rPr>
          <w:rFonts w:ascii="Alef" w:hAnsi="Alef" w:cs="David"/>
          <w:sz w:val="24"/>
        </w:rPr>
        <w:tab/>
      </w:r>
    </w:p>
    <w:p w:rsidR="007B4C3E" w:rsidRDefault="007B4C3E" w:rsidP="00D923C1">
      <w:pPr>
        <w:spacing w:after="0"/>
        <w:rPr>
          <w:rFonts w:ascii="Alef" w:hAnsi="Alef" w:cs="David"/>
          <w:sz w:val="16"/>
          <w:szCs w:val="16"/>
          <w:rtl/>
        </w:rPr>
      </w:pPr>
    </w:p>
    <w:p w:rsidR="008025FA" w:rsidRPr="00D923C1" w:rsidRDefault="008025FA" w:rsidP="00D923C1">
      <w:pPr>
        <w:spacing w:after="0"/>
        <w:rPr>
          <w:rFonts w:ascii="Alef" w:hAnsi="Alef" w:cs="David"/>
          <w:sz w:val="16"/>
          <w:szCs w:val="16"/>
          <w:rtl/>
        </w:rPr>
      </w:pPr>
    </w:p>
    <w:p w:rsidR="007B4C3E" w:rsidRPr="008025FA" w:rsidRDefault="007B4C3E" w:rsidP="00B146EA">
      <w:pPr>
        <w:tabs>
          <w:tab w:val="left" w:pos="5618"/>
        </w:tabs>
        <w:spacing w:after="120" w:line="360" w:lineRule="auto"/>
        <w:jc w:val="center"/>
        <w:rPr>
          <w:rFonts w:ascii="Alef" w:hAnsi="Alef" w:cs="David"/>
          <w:b/>
          <w:bCs/>
          <w:sz w:val="32"/>
          <w:szCs w:val="32"/>
          <w:u w:val="single"/>
          <w:rtl/>
        </w:rPr>
      </w:pPr>
      <w:r w:rsidRPr="008025FA">
        <w:rPr>
          <w:rFonts w:ascii="Alef" w:hAnsi="Alef" w:cs="David"/>
          <w:b/>
          <w:bCs/>
          <w:sz w:val="32"/>
          <w:szCs w:val="32"/>
          <w:u w:val="single"/>
          <w:rtl/>
        </w:rPr>
        <w:t xml:space="preserve">טיוטת גילוי דעת בעניין פרשנות המונחים </w:t>
      </w:r>
    </w:p>
    <w:p w:rsidR="007B4C3E" w:rsidRPr="008025FA" w:rsidRDefault="007B4C3E" w:rsidP="00B146EA">
      <w:pPr>
        <w:tabs>
          <w:tab w:val="left" w:pos="5618"/>
        </w:tabs>
        <w:spacing w:after="120" w:line="360" w:lineRule="auto"/>
        <w:jc w:val="center"/>
        <w:rPr>
          <w:rFonts w:ascii="Alef" w:hAnsi="Alef" w:cs="David"/>
          <w:b/>
          <w:bCs/>
          <w:sz w:val="32"/>
          <w:szCs w:val="32"/>
          <w:u w:val="single"/>
          <w:rtl/>
        </w:rPr>
      </w:pPr>
      <w:r w:rsidRPr="008025FA">
        <w:rPr>
          <w:rFonts w:ascii="Alef" w:hAnsi="Alef" w:cs="David"/>
          <w:b/>
          <w:bCs/>
          <w:sz w:val="32"/>
          <w:szCs w:val="32"/>
          <w:u w:val="single"/>
          <w:rtl/>
        </w:rPr>
        <w:t xml:space="preserve">"מחזור מכירות קובע" ו"אשראי קובע" </w:t>
      </w:r>
    </w:p>
    <w:p w:rsidR="007B4C3E" w:rsidRPr="008025FA" w:rsidRDefault="007B4C3E" w:rsidP="00B146EA">
      <w:pPr>
        <w:tabs>
          <w:tab w:val="left" w:pos="5618"/>
        </w:tabs>
        <w:spacing w:after="120" w:line="360" w:lineRule="auto"/>
        <w:jc w:val="center"/>
        <w:rPr>
          <w:rFonts w:ascii="Alef" w:hAnsi="Alef" w:cs="David"/>
          <w:b/>
          <w:bCs/>
          <w:sz w:val="32"/>
          <w:szCs w:val="32"/>
          <w:u w:val="single"/>
          <w:rtl/>
        </w:rPr>
      </w:pPr>
      <w:r w:rsidRPr="008025FA">
        <w:rPr>
          <w:rFonts w:ascii="Alef" w:hAnsi="Alef" w:cs="David"/>
          <w:b/>
          <w:bCs/>
          <w:sz w:val="32"/>
          <w:szCs w:val="32"/>
          <w:u w:val="single"/>
          <w:rtl/>
        </w:rPr>
        <w:t xml:space="preserve">בחוק לקידום התחרות ולצמצום הריכוזיות, התשע"ד-2013 </w:t>
      </w:r>
    </w:p>
    <w:p w:rsidR="007B4C3E" w:rsidRPr="001329C7" w:rsidRDefault="007B4C3E" w:rsidP="00D923C1">
      <w:pPr>
        <w:tabs>
          <w:tab w:val="left" w:pos="5618"/>
        </w:tabs>
        <w:spacing w:line="240" w:lineRule="auto"/>
        <w:rPr>
          <w:rFonts w:ascii="Alef" w:hAnsi="Alef" w:cs="David"/>
          <w:sz w:val="24"/>
          <w:rtl/>
        </w:rPr>
      </w:pPr>
    </w:p>
    <w:p w:rsidR="007B4C3E" w:rsidRPr="001329C7" w:rsidRDefault="007B4C3E" w:rsidP="00542EBE">
      <w:pPr>
        <w:spacing w:after="0" w:line="360" w:lineRule="auto"/>
        <w:jc w:val="both"/>
        <w:rPr>
          <w:rFonts w:ascii="Alef" w:hAnsi="Alef" w:cs="David"/>
          <w:sz w:val="24"/>
          <w:szCs w:val="24"/>
          <w:rtl/>
        </w:rPr>
      </w:pPr>
      <w:bookmarkStart w:id="0" w:name="_GoBack"/>
      <w:r w:rsidRPr="001329C7">
        <w:rPr>
          <w:rFonts w:ascii="Alef" w:hAnsi="Alef" w:cs="David"/>
          <w:sz w:val="24"/>
          <w:szCs w:val="24"/>
          <w:rtl/>
        </w:rPr>
        <w:t xml:space="preserve">החוק לקידום התחרות ולצמצום הריכוזיות, התשע"ד-2013 (להלן </w:t>
      </w:r>
      <w:r w:rsidRPr="001329C7">
        <w:rPr>
          <w:rFonts w:ascii="Alef" w:hAnsi="Alef" w:cs="David"/>
          <w:b/>
          <w:bCs/>
          <w:sz w:val="24"/>
          <w:szCs w:val="24"/>
          <w:rtl/>
        </w:rPr>
        <w:t>החוק</w:t>
      </w:r>
      <w:r w:rsidRPr="001329C7">
        <w:rPr>
          <w:rFonts w:ascii="Alef" w:hAnsi="Alef" w:cs="David"/>
          <w:sz w:val="24"/>
          <w:szCs w:val="24"/>
          <w:rtl/>
        </w:rPr>
        <w:t xml:space="preserve">) נחקק בשלהי שנת 2013. סעיף 4 לחוק מפקיד את מלאכת הכנת רשימת הגורמים הריכוזיים בידי הוועדה לצמצום הריכוזיות (להלן </w:t>
      </w:r>
      <w:r w:rsidRPr="001329C7">
        <w:rPr>
          <w:rFonts w:ascii="Alef" w:hAnsi="Alef" w:cs="David"/>
          <w:b/>
          <w:bCs/>
          <w:sz w:val="24"/>
          <w:szCs w:val="24"/>
          <w:rtl/>
        </w:rPr>
        <w:t>הוועדה</w:t>
      </w:r>
      <w:r w:rsidRPr="001329C7">
        <w:rPr>
          <w:rFonts w:ascii="Alef" w:hAnsi="Alef" w:cs="David"/>
          <w:sz w:val="24"/>
          <w:szCs w:val="24"/>
          <w:rtl/>
        </w:rPr>
        <w:t xml:space="preserve">), בהתאם להוראות ולהגדרות </w:t>
      </w:r>
      <w:r w:rsidRPr="001329C7">
        <w:rPr>
          <w:rFonts w:ascii="Alef" w:hAnsi="Alef" w:cs="David" w:hint="cs"/>
          <w:sz w:val="24"/>
          <w:szCs w:val="24"/>
          <w:rtl/>
        </w:rPr>
        <w:t>ש</w:t>
      </w:r>
      <w:r w:rsidRPr="001329C7">
        <w:rPr>
          <w:rFonts w:ascii="Alef" w:hAnsi="Alef" w:cs="David"/>
          <w:sz w:val="24"/>
          <w:szCs w:val="24"/>
          <w:rtl/>
        </w:rPr>
        <w:t xml:space="preserve">בחוק. </w:t>
      </w:r>
    </w:p>
    <w:p w:rsidR="007B4C3E" w:rsidRPr="001329C7" w:rsidRDefault="007B4C3E" w:rsidP="00542EBE">
      <w:pPr>
        <w:spacing w:before="240" w:after="0" w:line="360" w:lineRule="auto"/>
        <w:jc w:val="both"/>
        <w:rPr>
          <w:rFonts w:ascii="Alef" w:hAnsi="Alef" w:cs="David"/>
          <w:sz w:val="24"/>
          <w:szCs w:val="24"/>
          <w:rtl/>
        </w:rPr>
      </w:pPr>
      <w:r w:rsidRPr="001329C7">
        <w:rPr>
          <w:rFonts w:ascii="Alef" w:hAnsi="Alef" w:cs="David"/>
          <w:sz w:val="24"/>
          <w:szCs w:val="24"/>
          <w:rtl/>
        </w:rPr>
        <w:lastRenderedPageBreak/>
        <w:t>רשימת הגורמים הריכוזיים שמפרסמת הוועדה כוללת תאגידים שמנויים ברשימת הגופים הפיננסיים המשמעותיים</w:t>
      </w:r>
      <w:r w:rsidRPr="001329C7">
        <w:rPr>
          <w:rFonts w:ascii="Alef" w:hAnsi="Alef" w:cs="David" w:hint="cs"/>
          <w:sz w:val="24"/>
          <w:szCs w:val="24"/>
          <w:rtl/>
        </w:rPr>
        <w:t>,</w:t>
      </w:r>
      <w:r w:rsidRPr="001329C7">
        <w:rPr>
          <w:rFonts w:ascii="Alef" w:hAnsi="Alef" w:cs="David"/>
          <w:sz w:val="24"/>
          <w:szCs w:val="24"/>
          <w:rtl/>
        </w:rPr>
        <w:t xml:space="preserve"> ברשימת התאגידים הריאליים המשמעותיים, גורמים בעלי השפעה בתחום השידורים או העיתונות הכתובה, גורמים בעלי היקף פעילות מצטבר בתחום תשתית חיונית שעולה על מחצית מכלל הפעילות בתחום וגורמים שמחזיקים בלפחות ארבעה תחומי תשתית חיונית באמצעות לפחות עשרה רישיונות או חוזים.</w:t>
      </w:r>
    </w:p>
    <w:p w:rsidR="007B4C3E" w:rsidRPr="001329C7" w:rsidRDefault="007B4C3E" w:rsidP="00542EBE">
      <w:pPr>
        <w:spacing w:before="240" w:after="0" w:line="360" w:lineRule="auto"/>
        <w:jc w:val="both"/>
        <w:rPr>
          <w:rFonts w:ascii="Alef" w:hAnsi="Alef" w:cs="David"/>
          <w:sz w:val="24"/>
          <w:szCs w:val="24"/>
          <w:rtl/>
        </w:rPr>
      </w:pPr>
      <w:r w:rsidRPr="001329C7">
        <w:rPr>
          <w:rFonts w:ascii="Alef" w:hAnsi="Alef" w:cs="David"/>
          <w:sz w:val="24"/>
          <w:szCs w:val="24"/>
          <w:rtl/>
        </w:rPr>
        <w:t>משמעות הופעת גורם ברשימת הגורמים הריכוזיים היא שמאסדר המקצה רישיונות או זיכיונות בתשתיות חיוניות</w:t>
      </w:r>
      <w:r w:rsidRPr="001329C7">
        <w:rPr>
          <w:rStyle w:val="FootnoteReference"/>
          <w:rFonts w:ascii="Alef" w:hAnsi="Alef" w:cs="David"/>
          <w:sz w:val="24"/>
          <w:szCs w:val="24"/>
          <w:rtl/>
        </w:rPr>
        <w:footnoteReference w:id="1"/>
      </w:r>
      <w:r w:rsidRPr="001329C7">
        <w:rPr>
          <w:rFonts w:ascii="Alef" w:hAnsi="Alef" w:cs="David"/>
          <w:sz w:val="24"/>
          <w:szCs w:val="24"/>
          <w:rtl/>
        </w:rPr>
        <w:t xml:space="preserve"> לגורם הכלול ברשימה, נדרש לשקול שיקולי ריכוזיות כלל-משקית ולהיוועץ בוועדה לגבי השלכות ההקצאה על הריכוזיות הכלל-משקית. </w:t>
      </w:r>
    </w:p>
    <w:p w:rsidR="007B4C3E" w:rsidRPr="001329C7" w:rsidRDefault="007B4C3E" w:rsidP="00542EBE">
      <w:pPr>
        <w:spacing w:before="240" w:after="0" w:line="360" w:lineRule="auto"/>
        <w:jc w:val="both"/>
        <w:rPr>
          <w:rFonts w:ascii="Alef" w:hAnsi="Alef" w:cs="David"/>
          <w:sz w:val="24"/>
          <w:szCs w:val="24"/>
          <w:rtl/>
        </w:rPr>
      </w:pPr>
      <w:r w:rsidRPr="001329C7">
        <w:rPr>
          <w:rFonts w:ascii="Alef" w:hAnsi="Alef" w:cs="David"/>
          <w:sz w:val="24"/>
          <w:szCs w:val="24"/>
          <w:rtl/>
        </w:rPr>
        <w:lastRenderedPageBreak/>
        <w:t xml:space="preserve">מסמך זה עוסק ברשימת התאגידים הריאליים המשמעותיים. מעבר להחלת חובה על </w:t>
      </w:r>
      <w:proofErr w:type="spellStart"/>
      <w:r w:rsidRPr="001329C7">
        <w:rPr>
          <w:rFonts w:ascii="Alef" w:hAnsi="Alef" w:cs="David"/>
          <w:sz w:val="24"/>
          <w:szCs w:val="24"/>
          <w:rtl/>
        </w:rPr>
        <w:t>מאסדרים</w:t>
      </w:r>
      <w:proofErr w:type="spellEnd"/>
      <w:r w:rsidRPr="001329C7">
        <w:rPr>
          <w:rFonts w:ascii="Alef" w:hAnsi="Alef" w:cs="David"/>
          <w:sz w:val="24"/>
          <w:szCs w:val="24"/>
          <w:rtl/>
        </w:rPr>
        <w:t xml:space="preserve"> לשקול שיקולי ריכוזיות כלל-משקית ולהיוועץ בוועדה בהקצאת זכויות, להופעה ברשימה זו חשיבות רבה גם מבחינת חובת ההפרדה בין תאגידים ריאליים משמעותיים לגופים פיננסיים משמעותיים.</w:t>
      </w:r>
      <w:r w:rsidRPr="001329C7">
        <w:rPr>
          <w:rStyle w:val="FootnoteReference"/>
          <w:rFonts w:ascii="Alef" w:hAnsi="Alef" w:cs="David"/>
          <w:sz w:val="24"/>
          <w:szCs w:val="24"/>
          <w:rtl/>
        </w:rPr>
        <w:footnoteReference w:id="2"/>
      </w:r>
      <w:r w:rsidRPr="001329C7">
        <w:rPr>
          <w:rFonts w:ascii="Alef" w:hAnsi="Alef" w:cs="David"/>
          <w:sz w:val="24"/>
          <w:szCs w:val="24"/>
          <w:rtl/>
        </w:rPr>
        <w:t xml:space="preserve"> </w:t>
      </w:r>
    </w:p>
    <w:p w:rsidR="007B4C3E" w:rsidRPr="001329C7" w:rsidRDefault="007B4C3E" w:rsidP="00542EBE">
      <w:pPr>
        <w:spacing w:before="240"/>
        <w:jc w:val="both"/>
        <w:rPr>
          <w:rFonts w:ascii="Alef" w:hAnsi="Alef" w:cs="David"/>
          <w:sz w:val="24"/>
          <w:szCs w:val="24"/>
          <w:rtl/>
        </w:rPr>
      </w:pPr>
      <w:r w:rsidRPr="001329C7">
        <w:rPr>
          <w:rFonts w:ascii="Alef" w:hAnsi="Alef" w:cs="David"/>
          <w:sz w:val="24"/>
          <w:szCs w:val="24"/>
          <w:rtl/>
        </w:rPr>
        <w:t>לפי סעיף 30(א) לחוק רשימת התאגידים הריאליים המשמעותיים תכלול:</w:t>
      </w:r>
    </w:p>
    <w:p w:rsidR="007B4C3E" w:rsidRPr="001329C7" w:rsidRDefault="007B4C3E" w:rsidP="00542EBE">
      <w:pPr>
        <w:numPr>
          <w:ilvl w:val="0"/>
          <w:numId w:val="9"/>
        </w:numPr>
        <w:spacing w:after="0" w:line="360" w:lineRule="auto"/>
        <w:jc w:val="both"/>
        <w:rPr>
          <w:rFonts w:ascii="Alef" w:hAnsi="Alef" w:cs="David"/>
          <w:sz w:val="24"/>
          <w:szCs w:val="24"/>
        </w:rPr>
      </w:pPr>
      <w:r w:rsidRPr="001329C7">
        <w:rPr>
          <w:rFonts w:ascii="Alef" w:hAnsi="Alef" w:cs="David"/>
          <w:sz w:val="24"/>
          <w:szCs w:val="24"/>
          <w:rtl/>
        </w:rPr>
        <w:t>תאגידים ריאליים שמחזור המכירות הקובע שלהם ושל תאגידים ריאליים המצויים עמם בקשרי שליטה (כפי שיפורט להלן) עולה על כ-6 מיליארדי ₪ או על כ-2 מיליארדי ₪ בשווקי מונופולין;</w:t>
      </w:r>
      <w:r w:rsidRPr="001329C7">
        <w:rPr>
          <w:rStyle w:val="FootnoteReference"/>
          <w:rFonts w:ascii="Alef" w:hAnsi="Alef" w:cs="David"/>
          <w:sz w:val="24"/>
          <w:szCs w:val="24"/>
          <w:rtl/>
        </w:rPr>
        <w:footnoteReference w:id="3"/>
      </w:r>
    </w:p>
    <w:p w:rsidR="007B4C3E" w:rsidRPr="00D923C1" w:rsidRDefault="007B4C3E" w:rsidP="00542EBE">
      <w:pPr>
        <w:numPr>
          <w:ilvl w:val="0"/>
          <w:numId w:val="9"/>
        </w:numPr>
        <w:spacing w:after="0" w:line="360" w:lineRule="auto"/>
        <w:jc w:val="both"/>
        <w:rPr>
          <w:rFonts w:ascii="Alef" w:hAnsi="Alef" w:cs="David"/>
          <w:sz w:val="24"/>
          <w:szCs w:val="24"/>
          <w:rtl/>
        </w:rPr>
      </w:pPr>
      <w:r w:rsidRPr="001329C7">
        <w:rPr>
          <w:rFonts w:ascii="Alef" w:hAnsi="Alef" w:cs="David"/>
          <w:sz w:val="24"/>
          <w:szCs w:val="24"/>
          <w:rtl/>
        </w:rPr>
        <w:lastRenderedPageBreak/>
        <w:t>תאגידים שהאשראי הקובע שלהם עולה על כ-6 מיליארדי ₪.</w:t>
      </w:r>
      <w:r w:rsidRPr="001329C7">
        <w:rPr>
          <w:rStyle w:val="FootnoteReference"/>
          <w:rFonts w:ascii="Alef" w:hAnsi="Alef" w:cs="David"/>
          <w:sz w:val="24"/>
          <w:szCs w:val="24"/>
          <w:rtl/>
        </w:rPr>
        <w:footnoteReference w:id="4"/>
      </w:r>
      <w:r w:rsidRPr="001329C7">
        <w:rPr>
          <w:rFonts w:ascii="Alef" w:hAnsi="Alef" w:cs="David"/>
          <w:sz w:val="24"/>
          <w:szCs w:val="24"/>
          <w:rtl/>
        </w:rPr>
        <w:t xml:space="preserve"> </w:t>
      </w:r>
    </w:p>
    <w:p w:rsidR="007B4C3E" w:rsidRPr="001329C7" w:rsidRDefault="007B4C3E" w:rsidP="008025FA">
      <w:pPr>
        <w:spacing w:before="240" w:line="360" w:lineRule="auto"/>
        <w:jc w:val="both"/>
        <w:rPr>
          <w:rFonts w:ascii="Alef" w:hAnsi="Alef" w:cs="David"/>
          <w:sz w:val="24"/>
          <w:szCs w:val="24"/>
          <w:rtl/>
        </w:rPr>
      </w:pPr>
      <w:r w:rsidRPr="001329C7">
        <w:rPr>
          <w:rFonts w:ascii="Alef" w:hAnsi="Alef" w:cs="David"/>
          <w:sz w:val="24"/>
          <w:szCs w:val="24"/>
          <w:rtl/>
        </w:rPr>
        <w:t xml:space="preserve">מאז שפורסם החוק, פרסמה הוועדה את רשימת התאגידים הריאליים המשמעותיים והיא מעדכנת אותה אחת לשנה לכל הפחות. לצורך עדכון הרשימה, פונה הממונה על התחרות לקבלת נתונים על פעילות גורמים בעלי מחזור מכירות או אשראי שעשוי לעבור את הסף הקבוע בחוק, ובוחנת אם יש לכלול אותם ברשימה. </w:t>
      </w:r>
    </w:p>
    <w:p w:rsidR="007B4C3E" w:rsidRPr="001329C7" w:rsidRDefault="007B4C3E" w:rsidP="007B4C3E">
      <w:pPr>
        <w:spacing w:line="360" w:lineRule="auto"/>
        <w:jc w:val="both"/>
        <w:rPr>
          <w:rFonts w:ascii="Alef" w:hAnsi="Alef" w:cs="David"/>
          <w:sz w:val="24"/>
          <w:szCs w:val="24"/>
          <w:rtl/>
        </w:rPr>
      </w:pPr>
      <w:r w:rsidRPr="001329C7">
        <w:rPr>
          <w:rFonts w:ascii="Alef" w:hAnsi="Alef" w:cs="David"/>
          <w:sz w:val="24"/>
          <w:szCs w:val="24"/>
          <w:rtl/>
        </w:rPr>
        <w:t xml:space="preserve">גילוי הדעת נועד להגביר את השקיפות באשר לאופן קביעת הרשימה על ידי הוועדה, להקל על התאגידים הנדרשים להשיב לדרישות הנתונים מדי שנה, להכריע בשאלות שעולות לעיתים קרובות מצד </w:t>
      </w:r>
      <w:r w:rsidRPr="001329C7">
        <w:rPr>
          <w:rFonts w:ascii="Alef" w:hAnsi="Alef" w:cs="David"/>
          <w:sz w:val="24"/>
          <w:szCs w:val="24"/>
          <w:rtl/>
        </w:rPr>
        <w:lastRenderedPageBreak/>
        <w:t>גורמים במשק</w:t>
      </w:r>
      <w:r w:rsidRPr="001329C7">
        <w:rPr>
          <w:rFonts w:ascii="Alef" w:hAnsi="Alef" w:cs="David" w:hint="cs"/>
          <w:sz w:val="24"/>
          <w:szCs w:val="24"/>
          <w:rtl/>
        </w:rPr>
        <w:t>,</w:t>
      </w:r>
      <w:r w:rsidRPr="001329C7">
        <w:rPr>
          <w:rFonts w:ascii="Alef" w:hAnsi="Alef" w:cs="David"/>
          <w:sz w:val="24"/>
          <w:szCs w:val="24"/>
          <w:rtl/>
        </w:rPr>
        <w:t xml:space="preserve"> וליצור אחידות בדרך חישוב מחזור המכירות הקובע והאשראי הקובע.</w:t>
      </w:r>
    </w:p>
    <w:p w:rsidR="007B4C3E" w:rsidRDefault="007B4C3E" w:rsidP="007B4C3E">
      <w:pPr>
        <w:spacing w:line="360" w:lineRule="auto"/>
        <w:jc w:val="both"/>
        <w:rPr>
          <w:rFonts w:ascii="Alef" w:hAnsi="Alef" w:cs="David"/>
          <w:sz w:val="24"/>
          <w:szCs w:val="24"/>
          <w:rtl/>
        </w:rPr>
      </w:pPr>
      <w:r w:rsidRPr="001329C7">
        <w:rPr>
          <w:rFonts w:ascii="Alef" w:hAnsi="Alef" w:cs="David"/>
          <w:sz w:val="24"/>
          <w:szCs w:val="24"/>
          <w:rtl/>
        </w:rPr>
        <w:t>פרשנות הוועדה למונחים בחוק כפי שתוצג להלן מסתמכת על פרשנות חשבונאית ומשפטית מקובלת לאור מטרות החוק.</w:t>
      </w:r>
      <w:r w:rsidRPr="001329C7">
        <w:rPr>
          <w:rStyle w:val="FootnoteReference"/>
          <w:rFonts w:ascii="Alef" w:hAnsi="Alef" w:cs="David"/>
          <w:sz w:val="24"/>
          <w:szCs w:val="24"/>
          <w:rtl/>
        </w:rPr>
        <w:footnoteReference w:id="5"/>
      </w:r>
      <w:r w:rsidRPr="001329C7">
        <w:rPr>
          <w:rFonts w:ascii="Alef" w:hAnsi="Alef" w:cs="David"/>
          <w:sz w:val="24"/>
          <w:szCs w:val="24"/>
          <w:rtl/>
        </w:rPr>
        <w:t xml:space="preserve"> במקרים בהם קיימות מספר פרשנויות אפשריות, בחרה הוועדה בפרשנות שמטרתה ליצור דיווח אחיד ופשוט, שלא ידרוש עבודת פילוח מיוחדת, ובלבד שהפרשנות מקיימת את תכלית החוק. </w:t>
      </w: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Default="008025FA" w:rsidP="007B4C3E">
      <w:pPr>
        <w:spacing w:line="360" w:lineRule="auto"/>
        <w:jc w:val="both"/>
        <w:rPr>
          <w:rFonts w:ascii="Alef" w:hAnsi="Alef" w:cs="David"/>
          <w:sz w:val="24"/>
          <w:szCs w:val="24"/>
          <w:rtl/>
        </w:rPr>
      </w:pPr>
    </w:p>
    <w:p w:rsidR="008025FA" w:rsidRPr="001329C7" w:rsidRDefault="008025FA" w:rsidP="007B4C3E">
      <w:pPr>
        <w:spacing w:line="360" w:lineRule="auto"/>
        <w:jc w:val="both"/>
        <w:rPr>
          <w:rFonts w:ascii="Alef" w:hAnsi="Alef" w:cs="David"/>
          <w:sz w:val="24"/>
          <w:szCs w:val="24"/>
          <w:rtl/>
        </w:rPr>
      </w:pPr>
    </w:p>
    <w:p w:rsidR="007B4C3E" w:rsidRPr="008025FA" w:rsidRDefault="007B4C3E" w:rsidP="008025FA">
      <w:pPr>
        <w:spacing w:before="120" w:after="160" w:line="360" w:lineRule="auto"/>
        <w:jc w:val="center"/>
        <w:rPr>
          <w:rFonts w:ascii="Alef" w:hAnsi="Alef" w:cs="David"/>
          <w:sz w:val="32"/>
          <w:szCs w:val="32"/>
          <w:u w:val="single"/>
        </w:rPr>
      </w:pPr>
      <w:r w:rsidRPr="008025FA">
        <w:rPr>
          <w:rFonts w:ascii="Alef" w:hAnsi="Alef" w:cs="David"/>
          <w:b/>
          <w:bCs/>
          <w:sz w:val="32"/>
          <w:szCs w:val="32"/>
          <w:u w:val="single"/>
          <w:rtl/>
        </w:rPr>
        <w:lastRenderedPageBreak/>
        <w:t>מחזור המכירות הקובע</w:t>
      </w:r>
    </w:p>
    <w:p w:rsidR="007B4C3E" w:rsidRPr="001329C7" w:rsidRDefault="007B4C3E" w:rsidP="00D923C1">
      <w:pPr>
        <w:spacing w:line="240" w:lineRule="auto"/>
        <w:rPr>
          <w:rFonts w:ascii="Alef" w:hAnsi="Alef" w:cs="David"/>
          <w:sz w:val="24"/>
          <w:szCs w:val="24"/>
          <w:rtl/>
        </w:rPr>
      </w:pPr>
      <w:r w:rsidRPr="001329C7">
        <w:rPr>
          <w:rFonts w:ascii="Alef" w:hAnsi="Alef" w:cs="David"/>
          <w:sz w:val="24"/>
          <w:szCs w:val="24"/>
          <w:rtl/>
        </w:rPr>
        <w:t>סעיף 30(ה) לחוק מגדיר:</w:t>
      </w:r>
    </w:p>
    <w:p w:rsidR="007B4C3E" w:rsidRPr="001329C7" w:rsidRDefault="007B4C3E" w:rsidP="00D923C1">
      <w:pPr>
        <w:spacing w:line="240" w:lineRule="auto"/>
        <w:ind w:left="368" w:right="284"/>
        <w:jc w:val="both"/>
        <w:rPr>
          <w:rFonts w:ascii="Alef" w:hAnsi="Alef" w:cs="David"/>
          <w:i/>
          <w:iCs/>
          <w:sz w:val="24"/>
          <w:szCs w:val="24"/>
          <w:rtl/>
        </w:rPr>
      </w:pPr>
      <w:r w:rsidRPr="001329C7">
        <w:rPr>
          <w:rFonts w:ascii="Alef" w:hAnsi="Alef" w:cs="David"/>
          <w:b/>
          <w:bCs/>
          <w:i/>
          <w:iCs/>
          <w:sz w:val="24"/>
          <w:szCs w:val="24"/>
          <w:rtl/>
        </w:rPr>
        <w:t>"מחזור מכירות קובע"</w:t>
      </w:r>
      <w:r w:rsidRPr="001329C7">
        <w:rPr>
          <w:rFonts w:ascii="Alef" w:hAnsi="Alef" w:cs="David"/>
          <w:i/>
          <w:iCs/>
          <w:sz w:val="24"/>
          <w:szCs w:val="24"/>
          <w:rtl/>
        </w:rPr>
        <w:t xml:space="preserve"> – סכום התקבולים מכל מקור וסוג שהתקבלו בישראל בשנת הכספים הקודמת, בהתאם לדוח הכספי השנתי שנערך לגבי אותה שנה, ואם לא נערך דוח כאמור – בהתאם לדרך החישוב שיורה הממונה על התחרות;</w:t>
      </w:r>
    </w:p>
    <w:p w:rsidR="007B4C3E" w:rsidRPr="001329C7" w:rsidRDefault="007B4C3E" w:rsidP="007B4C3E">
      <w:pPr>
        <w:spacing w:before="240" w:line="360" w:lineRule="auto"/>
        <w:jc w:val="both"/>
        <w:rPr>
          <w:rFonts w:ascii="Alef" w:hAnsi="Alef" w:cs="David"/>
          <w:color w:val="FF0000"/>
          <w:sz w:val="24"/>
          <w:szCs w:val="24"/>
          <w:rtl/>
        </w:rPr>
      </w:pPr>
      <w:r w:rsidRPr="001329C7">
        <w:rPr>
          <w:rFonts w:ascii="Alef" w:hAnsi="Alef" w:cs="David"/>
          <w:sz w:val="24"/>
          <w:szCs w:val="24"/>
          <w:rtl/>
        </w:rPr>
        <w:t>המחוקק בחר במונח 'תקבולים' ולא במונח 'הכנסות'. המונח תקבולים הוא מונח רחב יותר שכולל גם תקבולים שאינם נחשבים להכנסה.</w:t>
      </w:r>
      <w:r w:rsidRPr="001329C7">
        <w:rPr>
          <w:rStyle w:val="FootnoteReference"/>
          <w:rFonts w:ascii="Alef" w:hAnsi="Alef" w:cs="David"/>
          <w:sz w:val="24"/>
          <w:szCs w:val="24"/>
          <w:rtl/>
        </w:rPr>
        <w:footnoteReference w:id="6"/>
      </w:r>
      <w:r w:rsidRPr="001329C7">
        <w:rPr>
          <w:rFonts w:ascii="Alef" w:hAnsi="Alef" w:cs="David"/>
          <w:sz w:val="24"/>
          <w:szCs w:val="24"/>
          <w:rtl/>
        </w:rPr>
        <w:t xml:space="preserve"> הוועדה בחרה להתמקד רק בתקבולים שמשמשים אינדיקציה להיקף הפעילות הריאלית של תאגיד. על אף שהשימוש במונח 'תקבולים' בחוק מרמז על דיווח בשיטת המזומן, הוועדה סברה כי נכון שככלל חישוב מחזור המכירות הקובע של תאגידים </w:t>
      </w:r>
      <w:r w:rsidRPr="001329C7">
        <w:rPr>
          <w:rFonts w:ascii="Alef" w:hAnsi="Alef" w:cs="David"/>
          <w:sz w:val="24"/>
          <w:szCs w:val="24"/>
          <w:rtl/>
        </w:rPr>
        <w:lastRenderedPageBreak/>
        <w:t xml:space="preserve">ריאליים יתבצע לפי השיטה המצטברת שהיא השיטה הרווחת לחישוב מחזורי פעילות של מרבית התאגידים. </w:t>
      </w:r>
    </w:p>
    <w:p w:rsidR="001329C7" w:rsidRDefault="007B4C3E" w:rsidP="00D923C1">
      <w:pPr>
        <w:spacing w:before="240" w:line="360" w:lineRule="auto"/>
        <w:jc w:val="both"/>
        <w:rPr>
          <w:rFonts w:ascii="Alef" w:hAnsi="Alef" w:cs="David"/>
          <w:sz w:val="24"/>
          <w:szCs w:val="24"/>
          <w:rtl/>
        </w:rPr>
      </w:pPr>
      <w:r w:rsidRPr="001329C7">
        <w:rPr>
          <w:rFonts w:ascii="Alef" w:hAnsi="Alef" w:cs="David"/>
          <w:sz w:val="24"/>
          <w:szCs w:val="24"/>
          <w:rtl/>
        </w:rPr>
        <w:t>בהתאם להגדרה בחוק, מחזור המכירות הקובע יבטא את סכום המכירות שהתבצעו בישראל (או לישראל במקרה שהמוכר הוא תאגיד זר) וסכום ההכנסות בעד שירותים בישראל (או לישראל במקרה שספק השירותים הוא תאגיד זר), בתקופה החשבונאית המתחילה ביום 1 בינואר ומסתיימת ביום 31 בדצמבר של אותה שנה, כפי שנכללו בדוחות הכספיים המבוקרים של התאגיד.</w:t>
      </w:r>
    </w:p>
    <w:p w:rsidR="007B4C3E" w:rsidRPr="00B74D76" w:rsidRDefault="007B4C3E" w:rsidP="00D923C1">
      <w:pPr>
        <w:spacing w:before="120" w:after="0" w:line="360" w:lineRule="auto"/>
        <w:jc w:val="both"/>
        <w:rPr>
          <w:rFonts w:ascii="Alef" w:hAnsi="Alef" w:cs="David"/>
          <w:sz w:val="24"/>
          <w:szCs w:val="24"/>
          <w:rtl/>
        </w:rPr>
      </w:pPr>
      <w:r w:rsidRPr="00B74D76">
        <w:rPr>
          <w:rFonts w:ascii="Alef" w:hAnsi="Alef" w:cs="David"/>
          <w:sz w:val="24"/>
          <w:szCs w:val="24"/>
          <w:rtl/>
        </w:rPr>
        <w:t>נוסף על ההכנסות המפורטות לעיל, חישוב מחזור המכירות הקובע יכלול את התקבולים הבאים:</w:t>
      </w:r>
      <w:r w:rsidRPr="00B74D76">
        <w:rPr>
          <w:rStyle w:val="FootnoteReference"/>
          <w:rFonts w:ascii="Alef" w:hAnsi="Alef" w:cs="David"/>
          <w:sz w:val="24"/>
          <w:szCs w:val="24"/>
          <w:rtl/>
        </w:rPr>
        <w:footnoteReference w:id="7"/>
      </w:r>
    </w:p>
    <w:p w:rsidR="007B4C3E" w:rsidRPr="001329C7" w:rsidRDefault="007B4C3E" w:rsidP="007B4C3E">
      <w:pPr>
        <w:numPr>
          <w:ilvl w:val="0"/>
          <w:numId w:val="10"/>
        </w:numPr>
        <w:spacing w:before="120" w:after="0" w:line="360" w:lineRule="auto"/>
        <w:jc w:val="both"/>
        <w:rPr>
          <w:rFonts w:ascii="Alef" w:hAnsi="Alef" w:cs="David"/>
          <w:b/>
          <w:bCs/>
          <w:sz w:val="24"/>
          <w:szCs w:val="24"/>
          <w:rtl/>
        </w:rPr>
      </w:pPr>
      <w:r w:rsidRPr="001329C7">
        <w:rPr>
          <w:rFonts w:ascii="Alef" w:hAnsi="Alef" w:cs="David"/>
          <w:b/>
          <w:bCs/>
          <w:sz w:val="24"/>
          <w:szCs w:val="24"/>
          <w:rtl/>
        </w:rPr>
        <w:lastRenderedPageBreak/>
        <w:t>תמורה ממימוש נכס, לרבות ניירות ערך ונכסים פיננסיים אחרים</w:t>
      </w:r>
      <w:r w:rsidRPr="001329C7">
        <w:rPr>
          <w:rFonts w:ascii="Alef" w:hAnsi="Alef" w:cs="David"/>
          <w:sz w:val="24"/>
          <w:szCs w:val="24"/>
          <w:rtl/>
        </w:rPr>
        <w:t xml:space="preserve"> – תקבולים ממימוש נכסים מעידים על עסקאות ריאליות שבוצעו בידי התאגיד.</w:t>
      </w:r>
      <w:r w:rsidRPr="001329C7">
        <w:rPr>
          <w:rStyle w:val="FootnoteReference"/>
          <w:rFonts w:ascii="Alef" w:hAnsi="Alef" w:cs="David"/>
          <w:sz w:val="24"/>
          <w:szCs w:val="24"/>
          <w:rtl/>
        </w:rPr>
        <w:footnoteReference w:id="8"/>
      </w:r>
    </w:p>
    <w:p w:rsidR="007B4C3E" w:rsidRPr="001329C7" w:rsidRDefault="007B4C3E" w:rsidP="007B4C3E">
      <w:pPr>
        <w:numPr>
          <w:ilvl w:val="0"/>
          <w:numId w:val="10"/>
        </w:numPr>
        <w:spacing w:before="120" w:after="0" w:line="360" w:lineRule="auto"/>
        <w:jc w:val="both"/>
        <w:rPr>
          <w:rFonts w:ascii="Alef" w:hAnsi="Alef" w:cs="David"/>
          <w:b/>
          <w:bCs/>
          <w:sz w:val="24"/>
          <w:szCs w:val="24"/>
          <w:rtl/>
        </w:rPr>
      </w:pPr>
      <w:r w:rsidRPr="001329C7">
        <w:rPr>
          <w:rFonts w:ascii="Alef" w:hAnsi="Alef" w:cs="David"/>
          <w:b/>
          <w:bCs/>
          <w:sz w:val="24"/>
          <w:szCs w:val="24"/>
          <w:rtl/>
        </w:rPr>
        <w:t>דיבידנד שקיבל התאגיד מתאגיד שאינו בשליטתו</w:t>
      </w:r>
      <w:r w:rsidRPr="001329C7">
        <w:rPr>
          <w:rFonts w:ascii="Alef" w:hAnsi="Alef" w:cs="David"/>
          <w:sz w:val="24"/>
          <w:szCs w:val="24"/>
          <w:rtl/>
        </w:rPr>
        <w:t xml:space="preserve"> –</w:t>
      </w:r>
      <w:r w:rsidRPr="001329C7">
        <w:rPr>
          <w:rFonts w:ascii="Alef" w:hAnsi="Alef" w:cs="David"/>
          <w:b/>
          <w:bCs/>
          <w:sz w:val="24"/>
          <w:szCs w:val="24"/>
          <w:rtl/>
        </w:rPr>
        <w:t xml:space="preserve"> </w:t>
      </w:r>
      <w:r w:rsidRPr="001329C7">
        <w:rPr>
          <w:rFonts w:ascii="Alef" w:hAnsi="Alef" w:cs="David"/>
          <w:sz w:val="24"/>
          <w:szCs w:val="24"/>
          <w:rtl/>
        </w:rPr>
        <w:t>דיבידנד הוא תשלום שמקבל תאגיד כבעל מניות מתוך עודפים ורווחים של תאגידים שבהם הוא מחזיק. דיבידנד מתאגיד שאינו בשליטה ייכלל במחזור המכירות הקובע כדי לתת ביטוי לתקבולים מהחזקות התאגיד שלא בהכרח מופיעים בסעיף ההכנסות בדוחות הכספיים שלו, אבל בהחלט משקפים פעילות ריאלית שלו.</w:t>
      </w:r>
    </w:p>
    <w:p w:rsidR="007B4C3E" w:rsidRPr="001329C7" w:rsidRDefault="007B4C3E" w:rsidP="007B4C3E">
      <w:pPr>
        <w:numPr>
          <w:ilvl w:val="0"/>
          <w:numId w:val="10"/>
        </w:numPr>
        <w:spacing w:before="120" w:after="0" w:line="360" w:lineRule="auto"/>
        <w:jc w:val="both"/>
        <w:rPr>
          <w:rFonts w:ascii="Alef" w:hAnsi="Alef" w:cs="David"/>
          <w:b/>
          <w:bCs/>
          <w:sz w:val="24"/>
          <w:szCs w:val="24"/>
          <w:rtl/>
        </w:rPr>
      </w:pPr>
      <w:r w:rsidRPr="001329C7">
        <w:rPr>
          <w:rFonts w:ascii="Alef" w:hAnsi="Alef" w:cs="David"/>
          <w:b/>
          <w:bCs/>
          <w:sz w:val="24"/>
          <w:szCs w:val="24"/>
          <w:rtl/>
        </w:rPr>
        <w:lastRenderedPageBreak/>
        <w:t xml:space="preserve">הכנסות ריבית שקיבל התאגיד מכל מקור, לרבות מתאגיד שבשליטתו </w:t>
      </w:r>
      <w:r w:rsidRPr="001329C7">
        <w:rPr>
          <w:rFonts w:ascii="Alef" w:hAnsi="Alef" w:cs="David"/>
          <w:sz w:val="24"/>
          <w:szCs w:val="24"/>
          <w:rtl/>
        </w:rPr>
        <w:t xml:space="preserve">– הכנסות שהן תוצאה של הלוואות שהעניק תאגיד הן תקבולים שנדרשים להיכלל במחזור המכירות הקובע משום שהם מצביעים על היקף פעילותו. </w:t>
      </w:r>
      <w:r w:rsidRPr="001329C7">
        <w:rPr>
          <w:rFonts w:ascii="Alef" w:hAnsi="Alef" w:cs="David" w:hint="cs"/>
          <w:sz w:val="24"/>
          <w:szCs w:val="24"/>
          <w:rtl/>
        </w:rPr>
        <w:t>הכללת</w:t>
      </w:r>
      <w:r w:rsidRPr="001329C7">
        <w:rPr>
          <w:rFonts w:ascii="Alef" w:hAnsi="Alef" w:cs="David"/>
          <w:sz w:val="24"/>
          <w:szCs w:val="24"/>
          <w:rtl/>
        </w:rPr>
        <w:t xml:space="preserve"> הכנסות ריבית מתאגיד בשליטה נועדה לשמור על אחידות ולמנוע את הקושי בביצוע תחשיב המבחין בין הכנסות ריבית מתאגידים בשליטה לבין הכנסות מתאגידים שאינם בשליטה.</w:t>
      </w:r>
    </w:p>
    <w:p w:rsidR="007B4C3E" w:rsidRPr="001329C7" w:rsidRDefault="007B4C3E" w:rsidP="007B4C3E">
      <w:pPr>
        <w:numPr>
          <w:ilvl w:val="0"/>
          <w:numId w:val="10"/>
        </w:numPr>
        <w:spacing w:before="120" w:after="0" w:line="360" w:lineRule="auto"/>
        <w:jc w:val="both"/>
        <w:rPr>
          <w:rFonts w:ascii="Alef" w:hAnsi="Alef" w:cs="David"/>
          <w:b/>
          <w:bCs/>
          <w:sz w:val="24"/>
          <w:szCs w:val="24"/>
          <w:rtl/>
        </w:rPr>
      </w:pPr>
      <w:r w:rsidRPr="001329C7">
        <w:rPr>
          <w:rFonts w:ascii="Alef" w:hAnsi="Alef" w:cs="David"/>
          <w:b/>
          <w:bCs/>
          <w:sz w:val="24"/>
          <w:szCs w:val="24"/>
          <w:rtl/>
        </w:rPr>
        <w:t xml:space="preserve">הכנסות שקיבל התאגיד משכירות, דמי ניהול ודמי זיכיון מכל מקור, לרבות מתאגיד שבשליטתו </w:t>
      </w:r>
      <w:r w:rsidRPr="001329C7">
        <w:rPr>
          <w:rFonts w:ascii="Alef" w:hAnsi="Alef" w:cs="David"/>
          <w:sz w:val="24"/>
          <w:szCs w:val="24"/>
          <w:rtl/>
        </w:rPr>
        <w:t>–</w:t>
      </w:r>
      <w:r w:rsidRPr="001329C7">
        <w:rPr>
          <w:rFonts w:ascii="Alef" w:hAnsi="Alef" w:cs="David"/>
          <w:b/>
          <w:bCs/>
          <w:sz w:val="24"/>
          <w:szCs w:val="24"/>
          <w:rtl/>
        </w:rPr>
        <w:t xml:space="preserve"> </w:t>
      </w:r>
      <w:r w:rsidRPr="001329C7">
        <w:rPr>
          <w:rFonts w:ascii="Alef" w:hAnsi="Alef" w:cs="David"/>
          <w:sz w:val="24"/>
          <w:szCs w:val="24"/>
          <w:rtl/>
        </w:rPr>
        <w:t>הכנסות משכירות, דמי ניהול ודמי זיכיון הן תקבולים שנובעים מפעילותו הריאלית של התאגיד</w:t>
      </w:r>
      <w:r w:rsidRPr="001329C7">
        <w:rPr>
          <w:rFonts w:ascii="Alef" w:hAnsi="Alef" w:cs="David" w:hint="cs"/>
          <w:sz w:val="24"/>
          <w:szCs w:val="24"/>
          <w:rtl/>
        </w:rPr>
        <w:t>,</w:t>
      </w:r>
      <w:r w:rsidRPr="001329C7">
        <w:rPr>
          <w:rFonts w:ascii="Alef" w:hAnsi="Alef" w:cs="David"/>
          <w:sz w:val="24"/>
          <w:szCs w:val="24"/>
          <w:rtl/>
        </w:rPr>
        <w:t xml:space="preserve"> ולכן יש לכלול אותן בתחשיב מחזור המכירות הקובע. כמו בהכנסות ריבית, על מנת לשמור על אחידות</w:t>
      </w:r>
      <w:r w:rsidRPr="001329C7">
        <w:rPr>
          <w:rFonts w:ascii="Alef" w:hAnsi="Alef" w:cs="David" w:hint="cs"/>
          <w:sz w:val="24"/>
          <w:szCs w:val="24"/>
          <w:rtl/>
        </w:rPr>
        <w:t>,</w:t>
      </w:r>
      <w:r w:rsidRPr="001329C7">
        <w:rPr>
          <w:rFonts w:ascii="Alef" w:hAnsi="Alef" w:cs="David"/>
          <w:sz w:val="24"/>
          <w:szCs w:val="24"/>
          <w:rtl/>
        </w:rPr>
        <w:t xml:space="preserve"> ובשל הקושי להפריד בהכנסות אלו בין תאגידים </w:t>
      </w:r>
      <w:r w:rsidRPr="001329C7">
        <w:rPr>
          <w:rFonts w:ascii="Alef" w:hAnsi="Alef" w:cs="David"/>
          <w:sz w:val="24"/>
          <w:szCs w:val="24"/>
          <w:rtl/>
        </w:rPr>
        <w:lastRenderedPageBreak/>
        <w:t xml:space="preserve">שבשליטה לתאגידים שאינם בשליטה, יש לכלול גם הכנסות כאלו מתאגיד בשליטה בתחשיב מחזור המכירות הקובע. </w:t>
      </w:r>
    </w:p>
    <w:p w:rsidR="007B4C3E" w:rsidRPr="001329C7" w:rsidRDefault="007B4C3E" w:rsidP="007B4C3E">
      <w:pPr>
        <w:numPr>
          <w:ilvl w:val="0"/>
          <w:numId w:val="10"/>
        </w:numPr>
        <w:spacing w:before="120" w:after="0" w:line="360" w:lineRule="auto"/>
        <w:jc w:val="both"/>
        <w:rPr>
          <w:rFonts w:ascii="Alef" w:hAnsi="Alef" w:cs="David"/>
          <w:b/>
          <w:bCs/>
          <w:sz w:val="24"/>
          <w:szCs w:val="24"/>
          <w:rtl/>
        </w:rPr>
      </w:pPr>
      <w:r w:rsidRPr="001329C7">
        <w:rPr>
          <w:rFonts w:ascii="Alef" w:hAnsi="Alef" w:cs="David"/>
          <w:b/>
          <w:bCs/>
          <w:sz w:val="24"/>
          <w:szCs w:val="24"/>
          <w:rtl/>
        </w:rPr>
        <w:t xml:space="preserve">הכנסות מתמלוגים </w:t>
      </w:r>
      <w:r w:rsidRPr="001329C7">
        <w:rPr>
          <w:rFonts w:ascii="Alef" w:hAnsi="Alef" w:cs="David"/>
          <w:sz w:val="24"/>
          <w:szCs w:val="24"/>
          <w:rtl/>
        </w:rPr>
        <w:t>– תמלוגים הם כספים המועברים לבעליו של נכס או זכות מסוימת עבור השימוש בהם. תמלוגים הם תקבולים שנובעים מפעילותו הריאלית של התאגיד</w:t>
      </w:r>
      <w:r w:rsidRPr="001329C7">
        <w:rPr>
          <w:rFonts w:ascii="Alef" w:hAnsi="Alef" w:cs="David" w:hint="cs"/>
          <w:sz w:val="24"/>
          <w:szCs w:val="24"/>
          <w:rtl/>
        </w:rPr>
        <w:t>,</w:t>
      </w:r>
      <w:r w:rsidRPr="001329C7">
        <w:rPr>
          <w:rFonts w:ascii="Alef" w:hAnsi="Alef" w:cs="David"/>
          <w:sz w:val="24"/>
          <w:szCs w:val="24"/>
          <w:rtl/>
        </w:rPr>
        <w:t xml:space="preserve"> ומשום כך עליהם להיכלל במחזור המכירות הקובע שלו.</w:t>
      </w:r>
    </w:p>
    <w:p w:rsidR="007B4C3E" w:rsidRPr="001329C7" w:rsidRDefault="007B4C3E" w:rsidP="007B4C3E">
      <w:pPr>
        <w:numPr>
          <w:ilvl w:val="0"/>
          <w:numId w:val="10"/>
        </w:numPr>
        <w:spacing w:before="120" w:after="0" w:line="360" w:lineRule="auto"/>
        <w:jc w:val="both"/>
        <w:rPr>
          <w:rFonts w:ascii="Alef" w:hAnsi="Alef" w:cs="David"/>
          <w:b/>
          <w:bCs/>
          <w:sz w:val="24"/>
          <w:szCs w:val="24"/>
        </w:rPr>
      </w:pPr>
      <w:r w:rsidRPr="001329C7">
        <w:rPr>
          <w:rFonts w:ascii="Alef" w:hAnsi="Alef" w:cs="David"/>
          <w:b/>
          <w:bCs/>
          <w:sz w:val="24"/>
          <w:szCs w:val="24"/>
          <w:rtl/>
        </w:rPr>
        <w:t>מענקים ממשלתיים המתייחסים להכנסה</w:t>
      </w:r>
      <w:r w:rsidRPr="001329C7">
        <w:rPr>
          <w:rFonts w:ascii="Alef" w:hAnsi="Alef" w:cs="David"/>
          <w:b/>
          <w:bCs/>
          <w:sz w:val="24"/>
          <w:szCs w:val="24"/>
        </w:rPr>
        <w:t xml:space="preserve"> </w:t>
      </w:r>
      <w:r w:rsidRPr="001329C7">
        <w:rPr>
          <w:rFonts w:ascii="Alef" w:hAnsi="Alef" w:cs="David"/>
          <w:sz w:val="24"/>
          <w:szCs w:val="24"/>
          <w:rtl/>
        </w:rPr>
        <w:t>–</w:t>
      </w:r>
      <w:r w:rsidRPr="001329C7">
        <w:rPr>
          <w:rFonts w:ascii="Alef" w:hAnsi="Alef" w:cs="David"/>
          <w:b/>
          <w:bCs/>
          <w:sz w:val="24"/>
          <w:szCs w:val="24"/>
          <w:rtl/>
        </w:rPr>
        <w:t xml:space="preserve"> </w:t>
      </w:r>
      <w:r w:rsidRPr="001329C7">
        <w:rPr>
          <w:rFonts w:ascii="Alef" w:hAnsi="Alef" w:cs="David"/>
          <w:sz w:val="24"/>
          <w:szCs w:val="24"/>
          <w:rtl/>
        </w:rPr>
        <w:t xml:space="preserve">מענקים ממשלתיים משפיעים על היקף פעילותם הריאלית של תאגידים. יתרה מכך, היתכנותם הכלכלית של תאגידים מסוימים לא תתאפשר בלי מענקים אלו. לכן, נכון שמענקים ממשלתיים יכללו במחזור המכירות הקובע של תאגידים ריאליים. לפי כללי החשבונאות, מענקים המתייחסים להכנסה ניתנים להצגה כהכנסה אחרת או שהם מנוכים </w:t>
      </w:r>
      <w:r w:rsidRPr="001329C7">
        <w:rPr>
          <w:rFonts w:ascii="Alef" w:hAnsi="Alef" w:cs="David"/>
          <w:sz w:val="24"/>
          <w:szCs w:val="24"/>
          <w:rtl/>
        </w:rPr>
        <w:lastRenderedPageBreak/>
        <w:t>בדיווח על ההוצאה המתייחסת, ואולם בין כך ובין כך הם תקבולים שיש לכלול במחזור המכירות הקובע.</w:t>
      </w:r>
      <w:r w:rsidRPr="001329C7">
        <w:rPr>
          <w:rStyle w:val="FootnoteReference"/>
          <w:rFonts w:ascii="Alef" w:hAnsi="Alef" w:cs="David"/>
          <w:sz w:val="24"/>
          <w:szCs w:val="24"/>
          <w:rtl/>
        </w:rPr>
        <w:footnoteReference w:id="9"/>
      </w:r>
      <w:r w:rsidRPr="001329C7">
        <w:rPr>
          <w:rStyle w:val="FootnoteReference"/>
          <w:rFonts w:ascii="Alef" w:hAnsi="Alef" w:cs="David"/>
          <w:b/>
          <w:bCs/>
          <w:sz w:val="24"/>
          <w:szCs w:val="24"/>
        </w:rPr>
        <w:t xml:space="preserve"> </w:t>
      </w:r>
    </w:p>
    <w:p w:rsidR="0085370A" w:rsidRPr="00B74D76" w:rsidRDefault="007B4C3E" w:rsidP="00B74D76">
      <w:pPr>
        <w:numPr>
          <w:ilvl w:val="0"/>
          <w:numId w:val="10"/>
        </w:numPr>
        <w:spacing w:before="120" w:after="160" w:line="360" w:lineRule="auto"/>
        <w:jc w:val="both"/>
        <w:rPr>
          <w:rFonts w:ascii="Alef" w:hAnsi="Alef" w:cs="David"/>
          <w:sz w:val="24"/>
          <w:szCs w:val="24"/>
          <w:rtl/>
        </w:rPr>
      </w:pPr>
      <w:r w:rsidRPr="001329C7">
        <w:rPr>
          <w:rFonts w:ascii="Alef" w:hAnsi="Alef" w:cs="David"/>
          <w:b/>
          <w:bCs/>
          <w:sz w:val="24"/>
          <w:szCs w:val="24"/>
          <w:rtl/>
        </w:rPr>
        <w:t>מכירות והכנסות משותפות, הסדר משותף, פעילות משותפת או עסקה משותפת</w:t>
      </w:r>
      <w:r w:rsidRPr="001329C7">
        <w:rPr>
          <w:rFonts w:ascii="Alef" w:hAnsi="Alef" w:cs="David" w:hint="cs"/>
          <w:b/>
          <w:bCs/>
          <w:sz w:val="24"/>
          <w:szCs w:val="24"/>
          <w:rtl/>
        </w:rPr>
        <w:t xml:space="preserve"> </w:t>
      </w:r>
      <w:r w:rsidRPr="001329C7">
        <w:rPr>
          <w:rFonts w:ascii="Alef" w:hAnsi="Alef" w:cs="David"/>
          <w:sz w:val="24"/>
          <w:szCs w:val="24"/>
          <w:rtl/>
        </w:rPr>
        <w:t>–</w:t>
      </w:r>
      <w:r w:rsidRPr="001329C7">
        <w:rPr>
          <w:rFonts w:ascii="Alef" w:hAnsi="Alef" w:cs="David"/>
          <w:sz w:val="24"/>
          <w:szCs w:val="24"/>
        </w:rPr>
        <w:t xml:space="preserve"> </w:t>
      </w:r>
      <w:r w:rsidRPr="001329C7">
        <w:rPr>
          <w:rFonts w:ascii="Alef" w:hAnsi="Alef" w:cs="David"/>
          <w:sz w:val="24"/>
          <w:szCs w:val="24"/>
          <w:rtl/>
        </w:rPr>
        <w:t>הכנסות אלו משקפות פעילות ריאלית אד הוק של תאגיד שנעשות יחד עם תאגידים אחרים. לעיתים הכנסות אלו מחושבות בנפרד</w:t>
      </w:r>
      <w:r w:rsidRPr="001329C7">
        <w:rPr>
          <w:rFonts w:ascii="Alef" w:hAnsi="Alef" w:cs="David" w:hint="cs"/>
          <w:sz w:val="24"/>
          <w:szCs w:val="24"/>
          <w:rtl/>
        </w:rPr>
        <w:t>,</w:t>
      </w:r>
      <w:r w:rsidRPr="001329C7">
        <w:rPr>
          <w:rFonts w:ascii="Alef" w:hAnsi="Alef" w:cs="David"/>
          <w:sz w:val="24"/>
          <w:szCs w:val="24"/>
          <w:rtl/>
        </w:rPr>
        <w:t xml:space="preserve"> ולא מקבלות ביטוי בהכנסות התאגיד בדוחותיו הכספיים. הכללת אלו במחזור המכירות הקובע תשקף באופן נכון יותר את היקף פעילותו הריאלית של התאגיד.</w:t>
      </w:r>
    </w:p>
    <w:p w:rsidR="007B4C3E" w:rsidRPr="001329C7" w:rsidRDefault="007B4C3E" w:rsidP="007B4C3E">
      <w:pPr>
        <w:spacing w:before="240" w:line="360" w:lineRule="auto"/>
        <w:rPr>
          <w:rFonts w:ascii="Alef" w:hAnsi="Alef" w:cs="David"/>
          <w:b/>
          <w:bCs/>
          <w:sz w:val="24"/>
          <w:szCs w:val="24"/>
          <w:u w:val="single"/>
          <w:rtl/>
        </w:rPr>
      </w:pPr>
      <w:r w:rsidRPr="001329C7">
        <w:rPr>
          <w:rFonts w:ascii="Alef" w:hAnsi="Alef" w:cs="David"/>
          <w:b/>
          <w:bCs/>
          <w:sz w:val="24"/>
          <w:szCs w:val="24"/>
          <w:u w:val="single"/>
          <w:rtl/>
        </w:rPr>
        <w:t>חישוב מחזור המכירות הקובע לא יכלול את התקבולים והסעיפים הבאים:</w:t>
      </w:r>
    </w:p>
    <w:p w:rsidR="007B4C3E" w:rsidRPr="001329C7" w:rsidRDefault="007B4C3E" w:rsidP="007B4C3E">
      <w:pPr>
        <w:numPr>
          <w:ilvl w:val="0"/>
          <w:numId w:val="11"/>
        </w:numPr>
        <w:spacing w:before="120" w:after="0" w:line="360" w:lineRule="auto"/>
        <w:jc w:val="both"/>
        <w:rPr>
          <w:rFonts w:ascii="Alef" w:hAnsi="Alef" w:cs="David"/>
          <w:sz w:val="24"/>
          <w:szCs w:val="24"/>
          <w:rtl/>
        </w:rPr>
      </w:pPr>
      <w:r w:rsidRPr="001329C7">
        <w:rPr>
          <w:rFonts w:ascii="Alef" w:hAnsi="Alef" w:cs="David"/>
          <w:b/>
          <w:bCs/>
          <w:sz w:val="24"/>
          <w:szCs w:val="24"/>
          <w:rtl/>
        </w:rPr>
        <w:lastRenderedPageBreak/>
        <w:t>תמורה מייצוא טובין לחו"ל</w:t>
      </w:r>
      <w:r w:rsidRPr="001329C7">
        <w:rPr>
          <w:rFonts w:ascii="Alef" w:hAnsi="Alef" w:cs="David"/>
          <w:b/>
          <w:bCs/>
          <w:sz w:val="24"/>
          <w:szCs w:val="24"/>
        </w:rPr>
        <w:t xml:space="preserve"> </w:t>
      </w:r>
      <w:r w:rsidRPr="001329C7">
        <w:rPr>
          <w:rFonts w:ascii="Alef" w:hAnsi="Alef" w:cs="David"/>
          <w:sz w:val="24"/>
          <w:szCs w:val="24"/>
          <w:rtl/>
        </w:rPr>
        <w:t>– על אף שמלשון החוק '</w:t>
      </w:r>
      <w:r w:rsidRPr="001329C7">
        <w:rPr>
          <w:rFonts w:ascii="Alef" w:hAnsi="Alef" w:cs="David"/>
          <w:i/>
          <w:iCs/>
          <w:sz w:val="24"/>
          <w:szCs w:val="24"/>
          <w:rtl/>
        </w:rPr>
        <w:t>סכום התקבולים מכל מקור וסוג שהתקבלו בישראל</w:t>
      </w:r>
      <w:r w:rsidRPr="001329C7">
        <w:rPr>
          <w:rFonts w:ascii="Alef" w:hAnsi="Alef" w:cs="David"/>
          <w:sz w:val="24"/>
          <w:szCs w:val="24"/>
          <w:rtl/>
        </w:rPr>
        <w:t>' עשוי להשתמע כי מחזור המכירות הקובע צריך לכלול כל תשלום שהתקבל בחשבון בנק בישראל, אין להכליל תקבולים שהם תוצאה של ייצוא טובין במחזור המכירות הקובע. זאת, משום שהמחוקק ביקש להתחקות אחר היקף פעילותו הריאלית של התאגיד בישראל, ולא אחר פעילותו מחוצה לה.</w:t>
      </w:r>
    </w:p>
    <w:p w:rsidR="007B4C3E" w:rsidRPr="001329C7" w:rsidRDefault="007B4C3E" w:rsidP="007B4C3E">
      <w:pPr>
        <w:numPr>
          <w:ilvl w:val="0"/>
          <w:numId w:val="11"/>
        </w:numPr>
        <w:spacing w:before="120" w:after="0" w:line="360" w:lineRule="auto"/>
        <w:jc w:val="both"/>
        <w:rPr>
          <w:rFonts w:ascii="Alef" w:hAnsi="Alef" w:cs="David"/>
          <w:sz w:val="24"/>
          <w:szCs w:val="24"/>
        </w:rPr>
      </w:pPr>
      <w:r w:rsidRPr="001329C7">
        <w:rPr>
          <w:rFonts w:ascii="Alef" w:hAnsi="Alef" w:cs="David"/>
          <w:b/>
          <w:bCs/>
          <w:sz w:val="24"/>
          <w:szCs w:val="24"/>
          <w:rtl/>
        </w:rPr>
        <w:t>תמורה ממתן שירותים לחו"ל</w:t>
      </w:r>
      <w:r w:rsidRPr="001329C7">
        <w:rPr>
          <w:rFonts w:ascii="Alef" w:hAnsi="Alef" w:cs="David"/>
          <w:sz w:val="24"/>
        </w:rPr>
        <w:t xml:space="preserve"> </w:t>
      </w:r>
      <w:r w:rsidRPr="001329C7">
        <w:rPr>
          <w:rFonts w:ascii="Alef" w:hAnsi="Alef" w:cs="David"/>
          <w:sz w:val="24"/>
          <w:szCs w:val="24"/>
          <w:rtl/>
        </w:rPr>
        <w:t>– בהתאם לעיקרון המפורט לעיל.</w:t>
      </w:r>
    </w:p>
    <w:p w:rsidR="007B4C3E" w:rsidRPr="001329C7" w:rsidRDefault="007B4C3E" w:rsidP="007B4C3E">
      <w:pPr>
        <w:numPr>
          <w:ilvl w:val="0"/>
          <w:numId w:val="11"/>
        </w:numPr>
        <w:spacing w:before="120" w:after="0" w:line="360" w:lineRule="auto"/>
        <w:jc w:val="both"/>
        <w:rPr>
          <w:rFonts w:ascii="Alef" w:hAnsi="Alef" w:cs="David"/>
          <w:sz w:val="24"/>
          <w:szCs w:val="24"/>
        </w:rPr>
      </w:pPr>
      <w:r w:rsidRPr="001329C7">
        <w:rPr>
          <w:rFonts w:ascii="Alef" w:hAnsi="Alef" w:cs="David"/>
          <w:b/>
          <w:bCs/>
          <w:sz w:val="24"/>
          <w:szCs w:val="24"/>
          <w:rtl/>
        </w:rPr>
        <w:t>דיבידנד שקיבל התאגיד מתאגיד שבשליטתו</w:t>
      </w:r>
      <w:r w:rsidRPr="001329C7">
        <w:rPr>
          <w:rFonts w:ascii="Alef" w:hAnsi="Alef" w:cs="David"/>
          <w:b/>
          <w:bCs/>
          <w:sz w:val="24"/>
          <w:szCs w:val="24"/>
        </w:rPr>
        <w:t xml:space="preserve"> </w:t>
      </w:r>
      <w:r w:rsidRPr="001329C7">
        <w:rPr>
          <w:rFonts w:ascii="Alef" w:hAnsi="Alef" w:cs="David"/>
          <w:sz w:val="24"/>
          <w:szCs w:val="24"/>
          <w:rtl/>
        </w:rPr>
        <w:t xml:space="preserve">– אין לכלול במחזור המכירות הקובע תשלומי דיבידנד שקיבל תאגיד מתאגיד בשליטתו, משום שמדובר בהעברה בין חברה בת לחברה אם. הכנסות כל החברות בקבוצה ממילא נלקחות בחשבון והדיבידנד משולם מרווחי החברה הבת. </w:t>
      </w:r>
    </w:p>
    <w:p w:rsidR="007B4C3E" w:rsidRPr="001329C7" w:rsidRDefault="007B4C3E" w:rsidP="007B4C3E">
      <w:pPr>
        <w:numPr>
          <w:ilvl w:val="0"/>
          <w:numId w:val="11"/>
        </w:numPr>
        <w:spacing w:before="120" w:after="0" w:line="360" w:lineRule="auto"/>
        <w:jc w:val="both"/>
        <w:rPr>
          <w:rFonts w:ascii="Alef" w:hAnsi="Alef" w:cs="David"/>
          <w:b/>
          <w:bCs/>
          <w:sz w:val="24"/>
          <w:szCs w:val="24"/>
          <w:rtl/>
        </w:rPr>
      </w:pPr>
      <w:r w:rsidRPr="001329C7">
        <w:rPr>
          <w:rFonts w:ascii="Alef" w:hAnsi="Alef" w:cs="David"/>
          <w:b/>
          <w:bCs/>
          <w:sz w:val="24"/>
          <w:szCs w:val="24"/>
          <w:rtl/>
        </w:rPr>
        <w:lastRenderedPageBreak/>
        <w:t>הפרשי הצמדה ושער</w:t>
      </w:r>
      <w:r w:rsidRPr="001329C7">
        <w:rPr>
          <w:rFonts w:ascii="Alef" w:hAnsi="Alef" w:cs="David"/>
          <w:sz w:val="24"/>
        </w:rPr>
        <w:t xml:space="preserve"> </w:t>
      </w:r>
      <w:r w:rsidRPr="001329C7">
        <w:rPr>
          <w:rFonts w:ascii="Alef" w:hAnsi="Alef" w:cs="David"/>
          <w:sz w:val="24"/>
          <w:szCs w:val="24"/>
          <w:rtl/>
        </w:rPr>
        <w:t>– על אף שהפרשי הצמדה ושער עשויים להיחשב הכנסות בדוחות הכספיים, אין לכלול אותם במחזור המכירות הקובע משום שלא מדובר בתקבולים שהגיעו לתאגיד והם אינם משקפים פעילות ריאלית שלו.</w:t>
      </w:r>
    </w:p>
    <w:p w:rsidR="007B4C3E" w:rsidRPr="001329C7" w:rsidRDefault="007B4C3E" w:rsidP="007B4C3E">
      <w:pPr>
        <w:numPr>
          <w:ilvl w:val="0"/>
          <w:numId w:val="11"/>
        </w:numPr>
        <w:spacing w:before="120" w:after="0" w:line="360" w:lineRule="auto"/>
        <w:jc w:val="both"/>
        <w:rPr>
          <w:rFonts w:ascii="Alef" w:hAnsi="Alef" w:cs="David"/>
          <w:b/>
          <w:bCs/>
          <w:sz w:val="24"/>
          <w:szCs w:val="24"/>
        </w:rPr>
      </w:pPr>
      <w:r w:rsidRPr="001329C7">
        <w:rPr>
          <w:rFonts w:ascii="Alef" w:hAnsi="Alef" w:cs="David"/>
          <w:b/>
          <w:bCs/>
          <w:sz w:val="24"/>
          <w:szCs w:val="24"/>
          <w:rtl/>
        </w:rPr>
        <w:t>רווחי שערוך נדל"ן להשקעה ומכשירים פיננסים</w:t>
      </w:r>
      <w:r w:rsidRPr="001329C7">
        <w:rPr>
          <w:rFonts w:ascii="Alef" w:hAnsi="Alef" w:cs="David"/>
          <w:sz w:val="24"/>
        </w:rPr>
        <w:t xml:space="preserve"> </w:t>
      </w:r>
      <w:r w:rsidRPr="001329C7">
        <w:rPr>
          <w:rFonts w:ascii="Alef" w:hAnsi="Alef" w:cs="David"/>
          <w:sz w:val="24"/>
          <w:szCs w:val="24"/>
          <w:rtl/>
        </w:rPr>
        <w:t xml:space="preserve">– בדומה להפרשי הצמדה ושער, מדובר בעדכון שווי של נכסים בספרים ולא בפעילות ריאלית שהתאגיד ביצע. </w:t>
      </w:r>
    </w:p>
    <w:p w:rsidR="007B4C3E" w:rsidRPr="001329C7" w:rsidRDefault="007B4C3E" w:rsidP="007B4C3E">
      <w:pPr>
        <w:pStyle w:val="ListParagraph"/>
        <w:numPr>
          <w:ilvl w:val="0"/>
          <w:numId w:val="11"/>
        </w:numPr>
        <w:spacing w:before="120"/>
        <w:contextualSpacing/>
        <w:rPr>
          <w:rFonts w:ascii="Alef" w:hAnsi="Alef"/>
          <w:sz w:val="24"/>
          <w:szCs w:val="24"/>
        </w:rPr>
      </w:pPr>
      <w:r w:rsidRPr="001329C7">
        <w:rPr>
          <w:rFonts w:ascii="Alef" w:hAnsi="Alef"/>
          <w:b/>
          <w:bCs/>
          <w:sz w:val="24"/>
          <w:szCs w:val="24"/>
          <w:rtl/>
        </w:rPr>
        <w:t>מענקים ממשלתיים המתייחסים לנכסים</w:t>
      </w:r>
      <w:r w:rsidRPr="001329C7">
        <w:rPr>
          <w:rFonts w:ascii="Alef" w:hAnsi="Alef"/>
          <w:sz w:val="24"/>
        </w:rPr>
        <w:t xml:space="preserve"> </w:t>
      </w:r>
      <w:r w:rsidRPr="001329C7">
        <w:rPr>
          <w:rFonts w:ascii="Alef" w:hAnsi="Alef"/>
          <w:sz w:val="24"/>
          <w:szCs w:val="24"/>
          <w:rtl/>
        </w:rPr>
        <w:t xml:space="preserve">– מענקים ממשלתיים המתייחסים לנכסים הם מענקים ממשלתיים שהתנאי העיקרי שלהם הוא שישות שכשירה לקבלם תקנה, תקים או תרכוש נכסים לזמן ארוך והם ניתנים בדרך של העברת נכס לא כספי כמו קרקע או משאבים אחרים או בדרך </w:t>
      </w:r>
      <w:r w:rsidRPr="001329C7">
        <w:rPr>
          <w:rFonts w:ascii="Alef" w:hAnsi="Alef"/>
          <w:sz w:val="24"/>
          <w:szCs w:val="24"/>
          <w:rtl/>
        </w:rPr>
        <w:lastRenderedPageBreak/>
        <w:t>של העברת מזומנים.</w:t>
      </w:r>
      <w:r w:rsidRPr="001329C7">
        <w:rPr>
          <w:rStyle w:val="FootnoteReference"/>
          <w:rFonts w:ascii="Alef" w:hAnsi="Alef"/>
          <w:sz w:val="24"/>
          <w:szCs w:val="24"/>
          <w:rtl/>
        </w:rPr>
        <w:footnoteReference w:id="10"/>
      </w:r>
      <w:r w:rsidRPr="001329C7">
        <w:rPr>
          <w:rFonts w:ascii="Alef" w:hAnsi="Alef"/>
          <w:sz w:val="24"/>
          <w:szCs w:val="24"/>
          <w:rtl/>
        </w:rPr>
        <w:t xml:space="preserve"> אלו יוצגו בדוח על המצב הכספי כהכנסה נדחית בגין המענק או באמצעות ניכוי של המענק. על אף שמדובר בתקבולים, מענקים אלו אינם מתייחסים להכנסה השוטפת של תאגידים ריאליים (אלא להשקעות ארוכות טווח), ולכן לא נדרש לכלול אותם בתחשיב מחזור המכירות הקובע..</w:t>
      </w:r>
    </w:p>
    <w:p w:rsidR="001329C7" w:rsidRPr="001329C7" w:rsidRDefault="001329C7" w:rsidP="001329C7">
      <w:pPr>
        <w:pStyle w:val="ListParagraph"/>
        <w:numPr>
          <w:ilvl w:val="0"/>
          <w:numId w:val="0"/>
        </w:numPr>
        <w:spacing w:before="120"/>
        <w:ind w:left="644"/>
        <w:rPr>
          <w:rFonts w:ascii="Alef" w:hAnsi="Alef"/>
          <w:sz w:val="24"/>
          <w:szCs w:val="24"/>
          <w:rtl/>
        </w:rPr>
      </w:pPr>
    </w:p>
    <w:p w:rsidR="007B4C3E" w:rsidRPr="001329C7" w:rsidRDefault="007B4C3E" w:rsidP="00467C64">
      <w:pPr>
        <w:spacing w:line="240" w:lineRule="auto"/>
        <w:rPr>
          <w:rFonts w:ascii="Alef" w:hAnsi="Alef" w:cs="David"/>
          <w:b/>
          <w:bCs/>
          <w:sz w:val="24"/>
          <w:szCs w:val="24"/>
          <w:u w:val="single"/>
          <w:rtl/>
        </w:rPr>
      </w:pPr>
      <w:r w:rsidRPr="001329C7">
        <w:rPr>
          <w:rFonts w:ascii="Alef" w:hAnsi="Alef" w:cs="David"/>
          <w:b/>
          <w:bCs/>
          <w:sz w:val="24"/>
          <w:szCs w:val="24"/>
          <w:u w:val="single"/>
          <w:rtl/>
        </w:rPr>
        <w:t>הבהרות נוספות</w:t>
      </w:r>
      <w:r w:rsidR="00467C64">
        <w:rPr>
          <w:rFonts w:ascii="Alef" w:hAnsi="Alef" w:cs="David" w:hint="cs"/>
          <w:b/>
          <w:bCs/>
          <w:sz w:val="24"/>
          <w:szCs w:val="24"/>
          <w:u w:val="single"/>
          <w:rtl/>
        </w:rPr>
        <w:t xml:space="preserve"> </w:t>
      </w:r>
    </w:p>
    <w:p w:rsidR="007B4C3E" w:rsidRPr="001329C7" w:rsidRDefault="007B4C3E" w:rsidP="0085370A">
      <w:pPr>
        <w:pStyle w:val="ListParagraph"/>
        <w:numPr>
          <w:ilvl w:val="0"/>
          <w:numId w:val="14"/>
        </w:numPr>
        <w:spacing w:line="240" w:lineRule="auto"/>
        <w:contextualSpacing/>
        <w:rPr>
          <w:rFonts w:ascii="Alef" w:hAnsi="Alef"/>
          <w:b/>
          <w:bCs/>
          <w:sz w:val="24"/>
          <w:szCs w:val="24"/>
          <w:rtl/>
        </w:rPr>
      </w:pPr>
      <w:r w:rsidRPr="001329C7">
        <w:rPr>
          <w:rFonts w:ascii="Alef" w:hAnsi="Alef"/>
          <w:b/>
          <w:bCs/>
          <w:sz w:val="24"/>
          <w:szCs w:val="24"/>
          <w:rtl/>
        </w:rPr>
        <w:t xml:space="preserve">מחזור המכירות הקובע יחושב על בסיס מצטבר </w:t>
      </w:r>
    </w:p>
    <w:p w:rsidR="00010A83" w:rsidRDefault="007B4C3E" w:rsidP="00010A83">
      <w:pPr>
        <w:spacing w:before="240" w:line="360" w:lineRule="auto"/>
        <w:jc w:val="both"/>
        <w:rPr>
          <w:rFonts w:ascii="Alef" w:hAnsi="Alef" w:cs="David"/>
          <w:sz w:val="24"/>
          <w:szCs w:val="24"/>
          <w:rtl/>
        </w:rPr>
      </w:pPr>
      <w:r w:rsidRPr="001329C7">
        <w:rPr>
          <w:rFonts w:ascii="Alef" w:hAnsi="Alef" w:cs="David"/>
          <w:sz w:val="24"/>
          <w:szCs w:val="24"/>
          <w:rtl/>
        </w:rPr>
        <w:t xml:space="preserve">ככלל, חישוב מחזור המכירות הקובע יתבצע לפי השיטה המצטברת. בשיטה זו עיתוי ההכרה בהכנסות ובהוצאות הוא כשמתגבשת הזכות לקבל את ההכנסה או החובה לשלם את ההכנסה או ההוצאה </w:t>
      </w:r>
      <w:r w:rsidRPr="001329C7">
        <w:rPr>
          <w:rFonts w:ascii="Alef" w:hAnsi="Alef" w:cs="David"/>
          <w:sz w:val="24"/>
          <w:szCs w:val="24"/>
          <w:rtl/>
        </w:rPr>
        <w:lastRenderedPageBreak/>
        <w:t xml:space="preserve">בפועל. שיטה זו היא השיטה הנוהגת על פי כללי החשבונאות המקובלים ברוב התאגידים במשק. </w:t>
      </w:r>
    </w:p>
    <w:p w:rsidR="007B4C3E" w:rsidRPr="00010A83" w:rsidRDefault="007B4C3E" w:rsidP="00010A83">
      <w:pPr>
        <w:spacing w:before="240" w:line="360" w:lineRule="auto"/>
        <w:jc w:val="both"/>
        <w:rPr>
          <w:rFonts w:ascii="Alef" w:hAnsi="Alef" w:cs="David"/>
          <w:sz w:val="24"/>
          <w:szCs w:val="24"/>
          <w:rtl/>
        </w:rPr>
      </w:pPr>
      <w:r w:rsidRPr="001329C7">
        <w:rPr>
          <w:rFonts w:ascii="Alef" w:hAnsi="Alef" w:cs="David"/>
          <w:sz w:val="24"/>
          <w:szCs w:val="24"/>
          <w:rtl/>
        </w:rPr>
        <w:t xml:space="preserve">אם קיימת לתאגיד חלופת דיווח מצטבר או מזומן – תאגיד רשאי לבחור לדווח בשיטת המזומן אם תוצאת החישוב לפי שיטה זו תהא גבוהה יותר מחישוב לפי השיטה המצטברת. כלל זה נועד להקל על תאגידים שמדווחים על בסיס מזומן ולאפשר להם לחשב את מחזור המכירות הקובע באופן שבו הם עורכים את דוחותיהם. הקביעה כי דיווח על בסיס מזומן לא יתאפשר כשהתחשיב </w:t>
      </w:r>
      <w:r w:rsidRPr="001329C7">
        <w:rPr>
          <w:rFonts w:ascii="Alef" w:hAnsi="Alef" w:cs="David" w:hint="cs"/>
          <w:sz w:val="24"/>
          <w:szCs w:val="24"/>
          <w:rtl/>
        </w:rPr>
        <w:t>נמוך</w:t>
      </w:r>
      <w:r w:rsidRPr="001329C7">
        <w:rPr>
          <w:rFonts w:ascii="Alef" w:hAnsi="Alef" w:cs="David"/>
          <w:sz w:val="24"/>
          <w:szCs w:val="24"/>
          <w:rtl/>
        </w:rPr>
        <w:t xml:space="preserve"> מתחשיב מחזור המכירות הקובע שהיה נערך על בסיס מצטבר, נועדה למנוע דחייה של תקבולים במטרה להקטין את מחזור המכירות הקובע באופן מלאכותי. </w:t>
      </w:r>
    </w:p>
    <w:p w:rsidR="007B4C3E" w:rsidRPr="001329C7" w:rsidRDefault="007B4C3E" w:rsidP="007B4C3E">
      <w:pPr>
        <w:pStyle w:val="ListParagraph"/>
        <w:numPr>
          <w:ilvl w:val="0"/>
          <w:numId w:val="14"/>
        </w:numPr>
        <w:contextualSpacing/>
        <w:rPr>
          <w:rFonts w:ascii="Alef" w:hAnsi="Alef"/>
          <w:b/>
          <w:bCs/>
          <w:sz w:val="24"/>
          <w:szCs w:val="24"/>
        </w:rPr>
      </w:pPr>
      <w:r w:rsidRPr="001329C7">
        <w:rPr>
          <w:rFonts w:ascii="Alef" w:hAnsi="Alef"/>
          <w:b/>
          <w:bCs/>
          <w:sz w:val="24"/>
          <w:szCs w:val="24"/>
          <w:rtl/>
        </w:rPr>
        <w:t>חישוב מיסים עקיפים במחזור המכירות הקובע</w:t>
      </w:r>
    </w:p>
    <w:p w:rsidR="007B4C3E" w:rsidRPr="001329C7" w:rsidRDefault="007B4C3E" w:rsidP="007B4C3E">
      <w:pPr>
        <w:numPr>
          <w:ilvl w:val="0"/>
          <w:numId w:val="13"/>
        </w:numPr>
        <w:spacing w:after="0" w:line="360" w:lineRule="auto"/>
        <w:ind w:left="360"/>
        <w:jc w:val="both"/>
        <w:rPr>
          <w:rFonts w:ascii="Alef" w:hAnsi="Alef" w:cs="David"/>
          <w:sz w:val="24"/>
          <w:szCs w:val="24"/>
          <w:rtl/>
        </w:rPr>
      </w:pPr>
      <w:r w:rsidRPr="001329C7">
        <w:rPr>
          <w:rFonts w:ascii="Alef" w:hAnsi="Alef" w:cs="David"/>
          <w:sz w:val="24"/>
          <w:szCs w:val="24"/>
          <w:rtl/>
        </w:rPr>
        <w:t xml:space="preserve">אין להפחית מחישוב מחזור המכירות הקובע את תשלומי המכס, הבלו ומס קנייה. מיסים עקיפים אלו נכללים בהכנסות </w:t>
      </w:r>
      <w:r w:rsidRPr="001329C7">
        <w:rPr>
          <w:rFonts w:ascii="Alef" w:hAnsi="Alef" w:cs="David"/>
          <w:sz w:val="24"/>
          <w:szCs w:val="24"/>
          <w:rtl/>
        </w:rPr>
        <w:lastRenderedPageBreak/>
        <w:t xml:space="preserve">התאגיד בדוחות הכספיים ולכן יש לכלול אותם במחזור המכירות הקובע. </w:t>
      </w:r>
    </w:p>
    <w:p w:rsidR="007B4C3E" w:rsidRPr="001329C7" w:rsidRDefault="007B4C3E" w:rsidP="007B4C3E">
      <w:pPr>
        <w:numPr>
          <w:ilvl w:val="0"/>
          <w:numId w:val="13"/>
        </w:numPr>
        <w:spacing w:after="0" w:line="360" w:lineRule="auto"/>
        <w:ind w:left="360"/>
        <w:jc w:val="both"/>
        <w:rPr>
          <w:rFonts w:ascii="Alef" w:hAnsi="Alef" w:cs="David"/>
          <w:b/>
          <w:bCs/>
          <w:sz w:val="24"/>
          <w:szCs w:val="24"/>
        </w:rPr>
      </w:pPr>
      <w:r w:rsidRPr="001329C7">
        <w:rPr>
          <w:rFonts w:ascii="Alef" w:hAnsi="Alef" w:cs="David"/>
          <w:sz w:val="24"/>
          <w:szCs w:val="24"/>
          <w:rtl/>
        </w:rPr>
        <w:t>חישוב מחזור המכירות הקובע לא יכלול מע"מ. תקבולים בגין מע"מ אינם נכללים בהכנסות התאגיד בדוחות הכספיים</w:t>
      </w:r>
      <w:r w:rsidRPr="001329C7">
        <w:rPr>
          <w:rFonts w:ascii="Alef" w:hAnsi="Alef" w:cs="David" w:hint="cs"/>
          <w:sz w:val="24"/>
          <w:szCs w:val="24"/>
          <w:rtl/>
        </w:rPr>
        <w:t>,</w:t>
      </w:r>
      <w:r w:rsidRPr="001329C7">
        <w:rPr>
          <w:rFonts w:ascii="Alef" w:hAnsi="Alef" w:cs="David"/>
          <w:sz w:val="24"/>
          <w:szCs w:val="24"/>
          <w:rtl/>
        </w:rPr>
        <w:t xml:space="preserve"> ולכן אין לכלול אותם בתחשיב מחזור המכירות הקובע על אף שמדובר בתקבולים שקיבל התאגיד.</w:t>
      </w:r>
      <w:r w:rsidRPr="001329C7">
        <w:rPr>
          <w:rFonts w:ascii="Alef" w:hAnsi="Alef" w:cs="David"/>
          <w:b/>
          <w:bCs/>
          <w:sz w:val="24"/>
          <w:szCs w:val="24"/>
          <w:rtl/>
        </w:rPr>
        <w:t xml:space="preserve"> </w:t>
      </w:r>
    </w:p>
    <w:p w:rsidR="007B4C3E" w:rsidRPr="001329C7" w:rsidRDefault="007B4C3E" w:rsidP="007B4C3E">
      <w:pPr>
        <w:numPr>
          <w:ilvl w:val="0"/>
          <w:numId w:val="14"/>
        </w:numPr>
        <w:spacing w:before="120" w:after="0" w:line="360" w:lineRule="auto"/>
        <w:jc w:val="both"/>
        <w:rPr>
          <w:rFonts w:ascii="Alef" w:hAnsi="Alef" w:cs="David"/>
          <w:b/>
          <w:bCs/>
          <w:sz w:val="24"/>
          <w:szCs w:val="24"/>
        </w:rPr>
      </w:pPr>
      <w:r w:rsidRPr="001329C7">
        <w:rPr>
          <w:rFonts w:ascii="Alef" w:hAnsi="Alef" w:cs="David"/>
          <w:b/>
          <w:bCs/>
          <w:sz w:val="24"/>
          <w:szCs w:val="24"/>
          <w:rtl/>
        </w:rPr>
        <w:t>חישוב מחזור המכירות ב</w:t>
      </w:r>
      <w:r w:rsidRPr="001329C7">
        <w:rPr>
          <w:rFonts w:ascii="Alef" w:hAnsi="Alef" w:cs="David" w:hint="cs"/>
          <w:b/>
          <w:bCs/>
          <w:sz w:val="24"/>
          <w:szCs w:val="24"/>
          <w:rtl/>
        </w:rPr>
        <w:t>אדם (לרבות תאגיד)</w:t>
      </w:r>
      <w:r w:rsidRPr="001329C7">
        <w:rPr>
          <w:rFonts w:ascii="Alef" w:hAnsi="Alef" w:cs="David"/>
          <w:b/>
          <w:bCs/>
          <w:sz w:val="24"/>
          <w:szCs w:val="24"/>
          <w:rtl/>
        </w:rPr>
        <w:t xml:space="preserve"> שלא ער</w:t>
      </w:r>
      <w:r w:rsidRPr="001329C7">
        <w:rPr>
          <w:rFonts w:ascii="Alef" w:hAnsi="Alef" w:cs="David" w:hint="cs"/>
          <w:b/>
          <w:bCs/>
          <w:sz w:val="24"/>
          <w:szCs w:val="24"/>
          <w:rtl/>
        </w:rPr>
        <w:t>ך</w:t>
      </w:r>
      <w:r w:rsidRPr="001329C7">
        <w:rPr>
          <w:rFonts w:ascii="Alef" w:hAnsi="Alef" w:cs="David"/>
          <w:b/>
          <w:bCs/>
          <w:sz w:val="24"/>
          <w:szCs w:val="24"/>
          <w:rtl/>
        </w:rPr>
        <w:t xml:space="preserve"> דוח שנתי</w:t>
      </w:r>
    </w:p>
    <w:p w:rsidR="007B4C3E" w:rsidRPr="001329C7" w:rsidRDefault="007B4C3E" w:rsidP="007B4C3E">
      <w:pPr>
        <w:spacing w:after="0" w:line="360" w:lineRule="auto"/>
        <w:jc w:val="both"/>
        <w:rPr>
          <w:rFonts w:ascii="Alef" w:hAnsi="Alef" w:cs="David"/>
          <w:sz w:val="24"/>
          <w:szCs w:val="24"/>
          <w:rtl/>
        </w:rPr>
      </w:pPr>
      <w:r w:rsidRPr="001329C7">
        <w:rPr>
          <w:rFonts w:ascii="Alef" w:hAnsi="Alef" w:cs="David"/>
          <w:sz w:val="24"/>
          <w:szCs w:val="24"/>
          <w:rtl/>
        </w:rPr>
        <w:t xml:space="preserve">אם לא נערך לישות דו"ח כספי בשנה מסוימת, חישוב מחזור המכירות הקובע יתבצע בהתאם למחזור הדיווח שנמסר למע"מ. דיווח זה הוא אינדיקציה להיקף הכנסות הישות. </w:t>
      </w:r>
    </w:p>
    <w:p w:rsidR="007B4C3E" w:rsidRPr="001329C7" w:rsidRDefault="007B4C3E" w:rsidP="007B4C3E">
      <w:pPr>
        <w:spacing w:after="0" w:line="360" w:lineRule="auto"/>
        <w:jc w:val="both"/>
        <w:rPr>
          <w:rFonts w:ascii="Alef" w:hAnsi="Alef" w:cs="David"/>
          <w:b/>
          <w:bCs/>
          <w:sz w:val="24"/>
          <w:szCs w:val="24"/>
          <w:rtl/>
        </w:rPr>
      </w:pPr>
      <w:r w:rsidRPr="001329C7">
        <w:rPr>
          <w:rFonts w:ascii="Alef" w:hAnsi="Alef" w:cs="David"/>
          <w:sz w:val="24"/>
          <w:szCs w:val="24"/>
          <w:rtl/>
        </w:rPr>
        <w:t xml:space="preserve">לחישוב האמור (בהתאם לדיווח שנמסר למע"מ) יש להוסיף דיבידנדים שקיבלה הישות מתאגידים שאינם בשליטתה. תקבולים אלו אינם נכללים בדיווח למע"מ, ונדרשים להיכלל במחזור </w:t>
      </w:r>
      <w:r w:rsidRPr="001329C7">
        <w:rPr>
          <w:rFonts w:ascii="Alef" w:hAnsi="Alef" w:cs="David"/>
          <w:sz w:val="24"/>
          <w:szCs w:val="24"/>
          <w:rtl/>
        </w:rPr>
        <w:lastRenderedPageBreak/>
        <w:t>המכירות הקובע כפי שהם נכללים במחזור המכירות הקובע של תאגידים שערכו דוחות, כאמור.</w:t>
      </w:r>
      <w:r w:rsidRPr="001329C7">
        <w:rPr>
          <w:rStyle w:val="FootnoteReference"/>
          <w:rFonts w:ascii="Alef" w:hAnsi="Alef" w:cs="David"/>
          <w:sz w:val="24"/>
          <w:szCs w:val="24"/>
          <w:rtl/>
        </w:rPr>
        <w:footnoteReference w:id="11"/>
      </w:r>
    </w:p>
    <w:p w:rsidR="007B4C3E" w:rsidRPr="001329C7" w:rsidRDefault="007B4C3E" w:rsidP="007B4C3E">
      <w:pPr>
        <w:numPr>
          <w:ilvl w:val="0"/>
          <w:numId w:val="14"/>
        </w:numPr>
        <w:spacing w:before="120" w:after="0" w:line="360" w:lineRule="auto"/>
        <w:jc w:val="both"/>
        <w:rPr>
          <w:rFonts w:ascii="Alef" w:hAnsi="Alef" w:cs="David"/>
          <w:b/>
          <w:bCs/>
          <w:sz w:val="24"/>
          <w:szCs w:val="24"/>
          <w:rtl/>
        </w:rPr>
      </w:pPr>
      <w:r w:rsidRPr="001329C7">
        <w:rPr>
          <w:rFonts w:ascii="Alef" w:hAnsi="Alef" w:cs="David"/>
          <w:b/>
          <w:bCs/>
          <w:sz w:val="24"/>
          <w:szCs w:val="24"/>
          <w:rtl/>
        </w:rPr>
        <w:t>התייחסות להכנסות חד-פעמיות חריגות</w:t>
      </w:r>
    </w:p>
    <w:p w:rsidR="007B4C3E" w:rsidRPr="001329C7" w:rsidRDefault="007B4C3E" w:rsidP="007B4C3E">
      <w:pPr>
        <w:spacing w:after="0" w:line="360" w:lineRule="auto"/>
        <w:jc w:val="both"/>
        <w:rPr>
          <w:rStyle w:val="default"/>
          <w:rFonts w:ascii="Alef" w:hAnsi="Alef" w:cs="David"/>
          <w:sz w:val="24"/>
          <w:szCs w:val="24"/>
          <w:rtl/>
        </w:rPr>
      </w:pPr>
      <w:r w:rsidRPr="001329C7">
        <w:rPr>
          <w:rStyle w:val="default"/>
          <w:rFonts w:ascii="Alef" w:hAnsi="Alef" w:cs="David"/>
          <w:sz w:val="24"/>
          <w:szCs w:val="24"/>
          <w:rtl/>
        </w:rPr>
        <w:t xml:space="preserve">מחזור המכירות הקובע יכלול תקבולים מהכנסות חד-פעמיות, לרבות הכנסות חד פעמיות חריגות. ואולם אם התאגיד סבור כי הכנסות מסוג זה בשנה מסוימת הביאו לכך שמחזור המכירות הקובע </w:t>
      </w:r>
      <w:r w:rsidRPr="001329C7">
        <w:rPr>
          <w:rStyle w:val="default"/>
          <w:rFonts w:ascii="Alef" w:hAnsi="Alef" w:cs="David" w:hint="cs"/>
          <w:sz w:val="24"/>
          <w:szCs w:val="24"/>
          <w:rtl/>
        </w:rPr>
        <w:t xml:space="preserve">שלו </w:t>
      </w:r>
      <w:r w:rsidRPr="001329C7">
        <w:rPr>
          <w:rStyle w:val="default"/>
          <w:rFonts w:ascii="Alef" w:hAnsi="Alef" w:cs="David"/>
          <w:sz w:val="24"/>
          <w:szCs w:val="24"/>
          <w:rtl/>
        </w:rPr>
        <w:t xml:space="preserve">אינו מייצג כראוי את היקף פעילותו, הוא רשאי לפנות לממונה על התחרות ולבקש שמחזור המכירות הקובע שלו לא ייקבע בהתאם לתחשיב מחזור המכירות הקובע בשנה החולפת. לבקשה זו יצרף נתונים על מחזור המכירות הקובע שלו בשנתיים שקדמו לשנה החולפת. </w:t>
      </w:r>
    </w:p>
    <w:p w:rsidR="007B4C3E" w:rsidRPr="001329C7" w:rsidRDefault="007B4C3E" w:rsidP="007B4C3E">
      <w:pPr>
        <w:spacing w:after="0" w:line="360" w:lineRule="auto"/>
        <w:jc w:val="both"/>
        <w:rPr>
          <w:rStyle w:val="default"/>
          <w:rFonts w:ascii="Alef" w:hAnsi="Alef" w:cs="David"/>
          <w:sz w:val="24"/>
          <w:szCs w:val="24"/>
          <w:rtl/>
        </w:rPr>
      </w:pPr>
      <w:r w:rsidRPr="001329C7">
        <w:rPr>
          <w:rStyle w:val="default"/>
          <w:rFonts w:ascii="Alef" w:hAnsi="Alef" w:cs="David"/>
          <w:sz w:val="24"/>
          <w:szCs w:val="24"/>
          <w:rtl/>
        </w:rPr>
        <w:lastRenderedPageBreak/>
        <w:t>הממונה על התחרות תבחן את הבקשה ותחליט אם להיעתר לבקשה ואת דרך החישוב המתאימה מבין שתי הדרכים הבאות שהחוק מאפשר</w:t>
      </w:r>
      <w:r w:rsidRPr="001329C7">
        <w:rPr>
          <w:rStyle w:val="default"/>
          <w:rFonts w:ascii="Alef" w:hAnsi="Alef" w:cs="David" w:hint="cs"/>
          <w:sz w:val="24"/>
          <w:szCs w:val="24"/>
          <w:rtl/>
        </w:rPr>
        <w:t>, אם תיעתר לבקשה</w:t>
      </w:r>
      <w:r w:rsidRPr="001329C7">
        <w:rPr>
          <w:rStyle w:val="default"/>
          <w:rFonts w:ascii="Alef" w:hAnsi="Alef" w:cs="David"/>
          <w:sz w:val="24"/>
          <w:szCs w:val="24"/>
          <w:rtl/>
        </w:rPr>
        <w:t>:</w:t>
      </w:r>
      <w:r w:rsidRPr="001329C7">
        <w:rPr>
          <w:rStyle w:val="FootnoteReference"/>
          <w:rFonts w:ascii="Alef" w:hAnsi="Alef" w:cs="David"/>
          <w:sz w:val="24"/>
          <w:szCs w:val="24"/>
          <w:rtl/>
        </w:rPr>
        <w:footnoteReference w:id="12"/>
      </w:r>
      <w:r w:rsidRPr="001329C7">
        <w:rPr>
          <w:rStyle w:val="default"/>
          <w:rFonts w:ascii="Alef" w:hAnsi="Alef" w:cs="David"/>
          <w:sz w:val="24"/>
          <w:szCs w:val="24"/>
          <w:rtl/>
        </w:rPr>
        <w:t xml:space="preserve"> </w:t>
      </w:r>
    </w:p>
    <w:p w:rsidR="007B4C3E" w:rsidRPr="001329C7" w:rsidRDefault="007B4C3E" w:rsidP="007B4C3E">
      <w:pPr>
        <w:spacing w:after="0" w:line="360" w:lineRule="auto"/>
        <w:jc w:val="both"/>
        <w:rPr>
          <w:rStyle w:val="default"/>
          <w:rFonts w:ascii="Alef" w:hAnsi="Alef" w:cs="David"/>
          <w:sz w:val="24"/>
          <w:szCs w:val="24"/>
          <w:rtl/>
        </w:rPr>
      </w:pPr>
      <w:r w:rsidRPr="001329C7">
        <w:rPr>
          <w:rStyle w:val="default"/>
          <w:rFonts w:ascii="Alef" w:hAnsi="Alef" w:cs="David"/>
          <w:sz w:val="24"/>
          <w:szCs w:val="24"/>
          <w:rtl/>
        </w:rPr>
        <w:t xml:space="preserve">(א) סכום התקבולים שהתקבלו באחת משתי שנות הכספים שקדמו לשנת הכספים הקודמת; </w:t>
      </w:r>
    </w:p>
    <w:p w:rsidR="007B4C3E" w:rsidRPr="001329C7" w:rsidRDefault="007B4C3E" w:rsidP="007B4C3E">
      <w:pPr>
        <w:spacing w:after="0" w:line="360" w:lineRule="auto"/>
        <w:jc w:val="both"/>
        <w:rPr>
          <w:rStyle w:val="default"/>
          <w:rFonts w:ascii="Alef" w:hAnsi="Alef" w:cs="David"/>
          <w:sz w:val="24"/>
          <w:szCs w:val="24"/>
          <w:rtl/>
        </w:rPr>
      </w:pPr>
      <w:r w:rsidRPr="001329C7">
        <w:rPr>
          <w:rStyle w:val="default"/>
          <w:rFonts w:ascii="Alef" w:hAnsi="Alef" w:cs="David"/>
          <w:sz w:val="24"/>
          <w:szCs w:val="24"/>
          <w:rtl/>
        </w:rPr>
        <w:t xml:space="preserve">(ב) ממוצע סכומי התקבולים של שלוש השנים האחרונות. </w:t>
      </w:r>
    </w:p>
    <w:p w:rsidR="007B4C3E" w:rsidRPr="001329C7" w:rsidRDefault="007B4C3E" w:rsidP="007B4C3E">
      <w:pPr>
        <w:numPr>
          <w:ilvl w:val="0"/>
          <w:numId w:val="14"/>
        </w:numPr>
        <w:spacing w:before="120" w:after="0" w:line="360" w:lineRule="auto"/>
        <w:jc w:val="both"/>
        <w:rPr>
          <w:rFonts w:ascii="Alef" w:hAnsi="Alef" w:cs="David"/>
          <w:b/>
          <w:bCs/>
          <w:sz w:val="24"/>
          <w:szCs w:val="24"/>
          <w:u w:val="single"/>
          <w:rtl/>
        </w:rPr>
      </w:pPr>
      <w:r w:rsidRPr="001329C7">
        <w:rPr>
          <w:rFonts w:ascii="Alef" w:hAnsi="Alef" w:cs="David"/>
          <w:b/>
          <w:bCs/>
          <w:sz w:val="24"/>
          <w:szCs w:val="24"/>
          <w:rtl/>
        </w:rPr>
        <w:t xml:space="preserve">חישוב הכנסות מעסקאות במשגור בשיטת הברוטו </w:t>
      </w:r>
    </w:p>
    <w:p w:rsidR="007B4C3E" w:rsidRPr="001329C7" w:rsidRDefault="007B4C3E" w:rsidP="007B4C3E">
      <w:pPr>
        <w:spacing w:after="0" w:line="360" w:lineRule="auto"/>
        <w:jc w:val="both"/>
        <w:rPr>
          <w:rFonts w:ascii="Alef" w:hAnsi="Alef" w:cs="David"/>
          <w:sz w:val="24"/>
          <w:szCs w:val="24"/>
          <w:rtl/>
        </w:rPr>
      </w:pPr>
      <w:r w:rsidRPr="001329C7">
        <w:rPr>
          <w:rFonts w:ascii="Alef" w:hAnsi="Alef" w:cs="David"/>
          <w:sz w:val="24"/>
          <w:szCs w:val="24"/>
          <w:rtl/>
        </w:rPr>
        <w:t>משגור</w:t>
      </w:r>
      <w:r w:rsidRPr="001329C7">
        <w:rPr>
          <w:rStyle w:val="FootnoteReference"/>
          <w:rFonts w:ascii="Alef" w:hAnsi="Alef" w:cs="David"/>
          <w:sz w:val="24"/>
          <w:szCs w:val="24"/>
          <w:rtl/>
        </w:rPr>
        <w:footnoteReference w:id="13"/>
      </w:r>
      <w:r w:rsidRPr="001329C7">
        <w:rPr>
          <w:rFonts w:ascii="Alef" w:hAnsi="Alef" w:cs="David"/>
          <w:sz w:val="24"/>
          <w:szCs w:val="24"/>
          <w:rtl/>
        </w:rPr>
        <w:t xml:space="preserve"> הוא שיטת מכירה הנהוגה בענף הקמעונאות, לפיה הסחורה נמצאת בבעלות היצרן או הסיטונאי עד לרגע שבו היא יוצאת מידי המשווק ללקוחותיו. במקרים </w:t>
      </w:r>
      <w:proofErr w:type="spellStart"/>
      <w:r w:rsidRPr="001329C7">
        <w:rPr>
          <w:rFonts w:ascii="Alef" w:hAnsi="Alef" w:cs="David" w:hint="cs"/>
          <w:sz w:val="24"/>
          <w:szCs w:val="24"/>
          <w:rtl/>
        </w:rPr>
        <w:t>מסויימים</w:t>
      </w:r>
      <w:proofErr w:type="spellEnd"/>
      <w:r w:rsidRPr="001329C7">
        <w:rPr>
          <w:rFonts w:ascii="Alef" w:hAnsi="Alef" w:cs="David" w:hint="cs"/>
          <w:sz w:val="24"/>
          <w:szCs w:val="24"/>
          <w:rtl/>
        </w:rPr>
        <w:t>,</w:t>
      </w:r>
      <w:r w:rsidRPr="001329C7">
        <w:rPr>
          <w:rFonts w:ascii="Alef" w:hAnsi="Alef" w:cs="David"/>
          <w:sz w:val="24"/>
          <w:szCs w:val="24"/>
          <w:rtl/>
        </w:rPr>
        <w:t xml:space="preserve"> החשבונאות מאפשרת להציג את ההכנסות מעסקאות משגור בדוחות הכספיים באחת משתי הגישות: גישת הברוטו שבה הרישום בספרי המשווק יהיה </w:t>
      </w:r>
      <w:r w:rsidRPr="001329C7">
        <w:rPr>
          <w:rFonts w:ascii="Alef" w:hAnsi="Alef" w:cs="David"/>
          <w:sz w:val="24"/>
          <w:szCs w:val="24"/>
          <w:rtl/>
        </w:rPr>
        <w:lastRenderedPageBreak/>
        <w:t>מלוא מחיר העסקה, וגישת הנטו שבה הרישום יתייחס רק לעמלה שהפיק המשווק.</w:t>
      </w:r>
      <w:r w:rsidRPr="001329C7">
        <w:rPr>
          <w:rStyle w:val="FootnoteReference"/>
          <w:rFonts w:ascii="Alef" w:hAnsi="Alef" w:cs="David"/>
          <w:sz w:val="24"/>
          <w:szCs w:val="24"/>
          <w:rtl/>
        </w:rPr>
        <w:footnoteReference w:id="14"/>
      </w:r>
    </w:p>
    <w:p w:rsidR="00010A83" w:rsidRDefault="007B4C3E" w:rsidP="00010A83">
      <w:pPr>
        <w:spacing w:after="0" w:line="360" w:lineRule="auto"/>
        <w:jc w:val="both"/>
        <w:rPr>
          <w:rFonts w:ascii="Alef" w:hAnsi="Alef" w:cs="David"/>
          <w:sz w:val="24"/>
          <w:szCs w:val="24"/>
          <w:rtl/>
        </w:rPr>
      </w:pPr>
      <w:r w:rsidRPr="001329C7">
        <w:rPr>
          <w:rFonts w:ascii="Alef" w:hAnsi="Alef" w:cs="David"/>
          <w:sz w:val="24"/>
          <w:szCs w:val="24"/>
          <w:rtl/>
        </w:rPr>
        <w:t>חישוב מחזור המכירות הקובע בעסקאות משגור יבוצע בשיטת הברוטו. דהיינו, מחזור המכירות הקובע יכלול את מלוא גובה העסקה. חישוב ההכנסות בשיטת הברוטו מבטא באופן נכון יותר את פעילותו הריאלית של המשווק,</w:t>
      </w:r>
      <w:r w:rsidRPr="001329C7">
        <w:rPr>
          <w:rStyle w:val="FootnoteReference"/>
          <w:rFonts w:ascii="Alef" w:hAnsi="Alef" w:cs="David"/>
          <w:sz w:val="24"/>
          <w:szCs w:val="24"/>
          <w:rtl/>
        </w:rPr>
        <w:footnoteReference w:id="15"/>
      </w:r>
      <w:r w:rsidRPr="001329C7">
        <w:rPr>
          <w:rFonts w:ascii="Alef" w:hAnsi="Alef" w:cs="David"/>
          <w:sz w:val="24"/>
          <w:szCs w:val="24"/>
          <w:rtl/>
        </w:rPr>
        <w:t xml:space="preserve"> ושומר על אחידות בין משווקים הפועלים במשגור לבין גופים שמוכרים סחורה שבבעלותם, שמחזור המכירות הקובע שלהם כולל את מלוא התקבולים ממכירותיהם ולא רק את הרווחים שהפיקו. </w:t>
      </w:r>
    </w:p>
    <w:p w:rsidR="007B4C3E" w:rsidRPr="00010A83" w:rsidRDefault="007B4C3E" w:rsidP="00010A83">
      <w:pPr>
        <w:numPr>
          <w:ilvl w:val="0"/>
          <w:numId w:val="14"/>
        </w:numPr>
        <w:spacing w:before="120" w:after="0" w:line="360" w:lineRule="auto"/>
        <w:jc w:val="both"/>
        <w:rPr>
          <w:rFonts w:ascii="Alef" w:hAnsi="Alef" w:cs="David"/>
          <w:b/>
          <w:bCs/>
          <w:sz w:val="24"/>
          <w:szCs w:val="24"/>
        </w:rPr>
      </w:pPr>
      <w:r w:rsidRPr="00010A83">
        <w:rPr>
          <w:rFonts w:ascii="Alef" w:hAnsi="Alef" w:cs="David"/>
          <w:b/>
          <w:bCs/>
          <w:sz w:val="24"/>
          <w:szCs w:val="24"/>
          <w:rtl/>
        </w:rPr>
        <w:t>הגדרת שליטה בתאגיד ריאלי בחוק</w:t>
      </w:r>
    </w:p>
    <w:p w:rsidR="007B4C3E" w:rsidRPr="001329C7" w:rsidRDefault="007B4C3E" w:rsidP="00542EBE">
      <w:pPr>
        <w:pStyle w:val="FootnoteText"/>
        <w:spacing w:line="360" w:lineRule="auto"/>
        <w:jc w:val="both"/>
        <w:rPr>
          <w:rFonts w:ascii="Alef" w:hAnsi="Alef" w:cs="David"/>
          <w:sz w:val="24"/>
          <w:szCs w:val="24"/>
          <w:rtl/>
        </w:rPr>
      </w:pPr>
      <w:r w:rsidRPr="001329C7">
        <w:rPr>
          <w:rFonts w:ascii="Alef" w:hAnsi="Alef" w:cs="David"/>
          <w:sz w:val="24"/>
          <w:szCs w:val="24"/>
          <w:rtl/>
        </w:rPr>
        <w:t>בהתאם לסעיף 30(א)(1) לחוק</w:t>
      </w:r>
      <w:r w:rsidR="00542EBE">
        <w:rPr>
          <w:rFonts w:ascii="Alef" w:hAnsi="Alef" w:cs="David" w:hint="cs"/>
          <w:sz w:val="24"/>
          <w:szCs w:val="24"/>
          <w:rtl/>
        </w:rPr>
        <w:t>:</w:t>
      </w:r>
      <w:r w:rsidRPr="001329C7">
        <w:rPr>
          <w:rFonts w:ascii="Alef" w:hAnsi="Alef" w:cs="David"/>
          <w:sz w:val="24"/>
          <w:szCs w:val="24"/>
          <w:rtl/>
        </w:rPr>
        <w:t xml:space="preserve"> "מחזור המכירות הקובע של תאגיד ריאלי יחושב כסך המכירות שלו, של השולט בו ושל כל התאגידים </w:t>
      </w:r>
      <w:r w:rsidRPr="001329C7">
        <w:rPr>
          <w:rFonts w:ascii="Alef" w:hAnsi="Alef" w:cs="David"/>
          <w:sz w:val="24"/>
          <w:szCs w:val="24"/>
          <w:rtl/>
        </w:rPr>
        <w:lastRenderedPageBreak/>
        <w:t xml:space="preserve">שבשליטתו ושבשליטת השולט בו...". הגדרת השליטה בחוק לעניין חישוב מחזור המכירות הקובע היא בהתאם להגדרת השליטה בחוק הבנקאות (רישוי), התשמ"א-1981 (להלן </w:t>
      </w:r>
      <w:r w:rsidRPr="001329C7">
        <w:rPr>
          <w:rFonts w:ascii="Alef" w:hAnsi="Alef" w:cs="David"/>
          <w:b/>
          <w:bCs/>
          <w:sz w:val="24"/>
          <w:szCs w:val="24"/>
          <w:rtl/>
        </w:rPr>
        <w:t>חוק הבנקאות</w:t>
      </w:r>
      <w:r w:rsidRPr="001329C7">
        <w:rPr>
          <w:rFonts w:ascii="Alef" w:hAnsi="Alef" w:cs="David"/>
          <w:sz w:val="24"/>
          <w:szCs w:val="24"/>
          <w:rtl/>
        </w:rPr>
        <w:t xml:space="preserve">). נביא את ההגדרה במלואה: </w:t>
      </w:r>
    </w:p>
    <w:p w:rsidR="007B4C3E" w:rsidRPr="001329C7" w:rsidRDefault="007B4C3E" w:rsidP="00164195">
      <w:pPr>
        <w:pStyle w:val="FootnoteText"/>
        <w:tabs>
          <w:tab w:val="left" w:pos="7880"/>
        </w:tabs>
        <w:ind w:left="368" w:right="426"/>
        <w:rPr>
          <w:rFonts w:ascii="Alef" w:hAnsi="Alef" w:cs="David"/>
          <w:i/>
          <w:iCs/>
          <w:sz w:val="24"/>
          <w:szCs w:val="24"/>
        </w:rPr>
      </w:pPr>
      <w:r w:rsidRPr="001329C7">
        <w:rPr>
          <w:rFonts w:ascii="Alef" w:hAnsi="Alef" w:cs="David"/>
          <w:i/>
          <w:iCs/>
          <w:sz w:val="24"/>
          <w:szCs w:val="24"/>
          <w:rtl/>
        </w:rPr>
        <w:t>"</w:t>
      </w:r>
      <w:r w:rsidRPr="001329C7">
        <w:rPr>
          <w:rFonts w:ascii="Alef" w:hAnsi="Alef" w:cs="David"/>
          <w:b/>
          <w:bCs/>
          <w:i/>
          <w:iCs/>
          <w:sz w:val="24"/>
          <w:szCs w:val="24"/>
          <w:rtl/>
        </w:rPr>
        <w:t>שליטה</w:t>
      </w:r>
      <w:r w:rsidRPr="001329C7">
        <w:rPr>
          <w:rFonts w:ascii="Alef" w:hAnsi="Alef" w:cs="David"/>
          <w:i/>
          <w:iCs/>
          <w:sz w:val="24"/>
          <w:szCs w:val="24"/>
          <w:rtl/>
        </w:rPr>
        <w:t>" – היכולת - בין לבד ובין יחד עם אחרים - לכוון את פעילותו של תאגיד, למעט יכולת הנובעת רק ממילוי תפקיד של דירקטור או נושא משרה אחר בתאגיד; מבלי לגרוע מכלליות האמור, יראו אדם כשולט בתאגיד אם מתקיימת בו אחת מאלה:</w:t>
      </w:r>
    </w:p>
    <w:p w:rsidR="007B4C3E" w:rsidRPr="001329C7" w:rsidRDefault="007B4C3E" w:rsidP="00BA1692">
      <w:pPr>
        <w:pStyle w:val="FootnoteText"/>
        <w:tabs>
          <w:tab w:val="left" w:pos="7597"/>
        </w:tabs>
        <w:ind w:left="651" w:right="709"/>
        <w:rPr>
          <w:rFonts w:ascii="Alef" w:hAnsi="Alef" w:cs="David"/>
          <w:i/>
          <w:iCs/>
          <w:sz w:val="24"/>
          <w:szCs w:val="24"/>
          <w:rtl/>
        </w:rPr>
      </w:pPr>
      <w:r w:rsidRPr="001329C7">
        <w:rPr>
          <w:rFonts w:ascii="Alef" w:hAnsi="Alef" w:cs="David"/>
          <w:i/>
          <w:iCs/>
          <w:sz w:val="24"/>
          <w:szCs w:val="24"/>
          <w:rtl/>
        </w:rPr>
        <w:t>(1) הוא מחזיק מחצית או יותר מסוג מסוים של אמצעי השליטה בתאגיד;</w:t>
      </w:r>
    </w:p>
    <w:p w:rsidR="00164195" w:rsidRDefault="007B4C3E" w:rsidP="00164195">
      <w:pPr>
        <w:pStyle w:val="FootnoteText"/>
        <w:tabs>
          <w:tab w:val="left" w:pos="7597"/>
        </w:tabs>
        <w:spacing w:after="240"/>
        <w:ind w:left="651" w:right="709"/>
        <w:rPr>
          <w:rFonts w:ascii="Alef" w:hAnsi="Alef" w:cs="David"/>
          <w:i/>
          <w:iCs/>
          <w:sz w:val="24"/>
          <w:szCs w:val="24"/>
          <w:rtl/>
        </w:rPr>
      </w:pPr>
      <w:r w:rsidRPr="001329C7">
        <w:rPr>
          <w:rFonts w:ascii="Alef" w:hAnsi="Alef" w:cs="David"/>
          <w:i/>
          <w:iCs/>
          <w:sz w:val="24"/>
          <w:szCs w:val="24"/>
          <w:rtl/>
        </w:rPr>
        <w:t>(2) בידיו היכולת למנוע קבלת החלטות עסקיות בתאגיד, למעט החלטות שעניינן הנפקה של אמצעי שליטה בתאגיד</w:t>
      </w:r>
      <w:r w:rsidRPr="001329C7">
        <w:rPr>
          <w:rStyle w:val="FootnoteReference"/>
          <w:rFonts w:ascii="Alef" w:hAnsi="Alef" w:cs="David"/>
          <w:i/>
          <w:iCs/>
          <w:sz w:val="24"/>
          <w:szCs w:val="24"/>
          <w:rtl/>
        </w:rPr>
        <w:footnoteReference w:id="16"/>
      </w:r>
      <w:r w:rsidRPr="001329C7">
        <w:rPr>
          <w:rFonts w:ascii="Alef" w:hAnsi="Alef" w:cs="David"/>
          <w:i/>
          <w:iCs/>
          <w:sz w:val="24"/>
          <w:szCs w:val="24"/>
          <w:rtl/>
        </w:rPr>
        <w:t xml:space="preserve"> או החלטות שעניינן מכירה, או חיסול של רוב עסקי התאגיד או שינוי מהותי בהם;</w:t>
      </w:r>
    </w:p>
    <w:p w:rsidR="007B4C3E" w:rsidRPr="001329C7" w:rsidRDefault="007B4C3E" w:rsidP="007B4C3E">
      <w:pPr>
        <w:spacing w:after="0" w:line="360" w:lineRule="auto"/>
        <w:ind w:left="65"/>
        <w:jc w:val="both"/>
        <w:rPr>
          <w:rFonts w:ascii="Alef" w:hAnsi="Alef" w:cs="David"/>
          <w:sz w:val="24"/>
          <w:szCs w:val="24"/>
          <w:rtl/>
        </w:rPr>
      </w:pPr>
      <w:r w:rsidRPr="001329C7">
        <w:rPr>
          <w:rFonts w:ascii="Alef" w:hAnsi="Alef" w:cs="David"/>
          <w:sz w:val="24"/>
          <w:szCs w:val="24"/>
          <w:rtl/>
        </w:rPr>
        <w:lastRenderedPageBreak/>
        <w:t xml:space="preserve">כמו כן, סעיף 30(ה) לחוק מבהיר כי שולט בתאגיד ריאלי מתייחס גם למחזיק </w:t>
      </w:r>
      <w:proofErr w:type="spellStart"/>
      <w:r w:rsidRPr="001329C7">
        <w:rPr>
          <w:rFonts w:ascii="Alef" w:hAnsi="Alef" w:cs="David"/>
          <w:sz w:val="24"/>
          <w:szCs w:val="24"/>
          <w:rtl/>
        </w:rPr>
        <w:t>בדבוקת</w:t>
      </w:r>
      <w:proofErr w:type="spellEnd"/>
      <w:r w:rsidRPr="001329C7">
        <w:rPr>
          <w:rFonts w:ascii="Alef" w:hAnsi="Alef" w:cs="David"/>
          <w:sz w:val="24"/>
          <w:szCs w:val="24"/>
          <w:rtl/>
        </w:rPr>
        <w:t xml:space="preserve"> שליטה כהגדרתה בחוק החברות, התשנ"ט-1999, בתאגיד ריאלי שבו אין בעל שליטה אחר: </w:t>
      </w:r>
    </w:p>
    <w:p w:rsidR="007B4C3E" w:rsidRPr="001329C7" w:rsidRDefault="007B4C3E" w:rsidP="00B74D76">
      <w:pPr>
        <w:pStyle w:val="FootnoteText"/>
        <w:tabs>
          <w:tab w:val="left" w:pos="7880"/>
        </w:tabs>
        <w:ind w:left="368" w:right="426"/>
        <w:rPr>
          <w:rFonts w:ascii="Alef" w:hAnsi="Alef" w:cs="David"/>
          <w:i/>
          <w:iCs/>
          <w:sz w:val="24"/>
          <w:szCs w:val="24"/>
          <w:rtl/>
        </w:rPr>
      </w:pPr>
      <w:r w:rsidRPr="001329C7">
        <w:rPr>
          <w:rFonts w:ascii="Alef" w:hAnsi="Alef" w:cs="David"/>
          <w:i/>
          <w:iCs/>
          <w:sz w:val="24"/>
          <w:szCs w:val="24"/>
          <w:rtl/>
        </w:rPr>
        <w:t>"</w:t>
      </w:r>
      <w:proofErr w:type="spellStart"/>
      <w:r w:rsidRPr="00BA1692">
        <w:rPr>
          <w:rFonts w:ascii="Alef" w:hAnsi="Alef" w:cs="David"/>
          <w:b/>
          <w:bCs/>
          <w:i/>
          <w:iCs/>
          <w:sz w:val="24"/>
          <w:szCs w:val="24"/>
          <w:rtl/>
        </w:rPr>
        <w:t>דבוקת</w:t>
      </w:r>
      <w:proofErr w:type="spellEnd"/>
      <w:r w:rsidRPr="00BA1692">
        <w:rPr>
          <w:rFonts w:ascii="Alef" w:hAnsi="Alef" w:cs="David"/>
          <w:b/>
          <w:bCs/>
          <w:i/>
          <w:iCs/>
          <w:sz w:val="24"/>
          <w:szCs w:val="24"/>
          <w:rtl/>
        </w:rPr>
        <w:t xml:space="preserve"> שליטה</w:t>
      </w:r>
      <w:r w:rsidRPr="001329C7">
        <w:rPr>
          <w:rFonts w:ascii="Alef" w:hAnsi="Alef" w:cs="David"/>
          <w:i/>
          <w:iCs/>
          <w:sz w:val="24"/>
          <w:szCs w:val="24"/>
          <w:rtl/>
        </w:rPr>
        <w:t>" – מניות המקנות עשרים וחמישה אחוזים או יותר מכלל זכויות ההצבעה באסיפה הכללית.</w:t>
      </w:r>
    </w:p>
    <w:p w:rsidR="007B4C3E" w:rsidRPr="001329C7" w:rsidRDefault="007B4C3E" w:rsidP="007B4C3E">
      <w:pPr>
        <w:numPr>
          <w:ilvl w:val="0"/>
          <w:numId w:val="14"/>
        </w:numPr>
        <w:spacing w:before="120" w:after="0" w:line="360" w:lineRule="auto"/>
        <w:jc w:val="both"/>
        <w:rPr>
          <w:rFonts w:ascii="Alef" w:hAnsi="Alef" w:cs="David"/>
          <w:b/>
          <w:bCs/>
          <w:sz w:val="24"/>
          <w:szCs w:val="24"/>
        </w:rPr>
      </w:pPr>
      <w:r w:rsidRPr="001329C7">
        <w:rPr>
          <w:rFonts w:ascii="Alef" w:hAnsi="Alef" w:cs="David"/>
          <w:b/>
          <w:bCs/>
          <w:sz w:val="24"/>
          <w:szCs w:val="24"/>
          <w:rtl/>
        </w:rPr>
        <w:t xml:space="preserve">מחזור המכירות הקובע יכלול את מלוא מחזור המכירות של כל תאגיד נשלט </w:t>
      </w:r>
    </w:p>
    <w:p w:rsidR="007B4C3E" w:rsidRPr="001329C7" w:rsidRDefault="007B4C3E" w:rsidP="007B4C3E">
      <w:pPr>
        <w:spacing w:line="360" w:lineRule="auto"/>
        <w:jc w:val="both"/>
        <w:rPr>
          <w:rFonts w:ascii="Alef" w:hAnsi="Alef" w:cs="David"/>
          <w:sz w:val="24"/>
          <w:szCs w:val="24"/>
          <w:rtl/>
        </w:rPr>
      </w:pPr>
      <w:r w:rsidRPr="001329C7">
        <w:rPr>
          <w:rFonts w:ascii="Alef" w:hAnsi="Alef" w:cs="David"/>
          <w:sz w:val="24"/>
          <w:szCs w:val="24"/>
          <w:rtl/>
        </w:rPr>
        <w:t xml:space="preserve">מחזור המכירות של תאגיד שנשלט בהתאם להגדרת השליטה בחוק (כמפורט לעיל) ייוחס במלואו לשולט (או לשולטים), אף אם הכנסותיו לא אוחדו בסעיף ההכנסות בדוחות הכספיים של השולט (או השולטים). לדוגמא, מחזור המכירות של תאגיד ב שנשלט על ידי תאגיד א (באמצעות החזקה בשיעור של 35% ממניותיו), ייכלל כולו </w:t>
      </w:r>
      <w:r w:rsidRPr="001329C7">
        <w:rPr>
          <w:rFonts w:ascii="Alef" w:hAnsi="Alef" w:cs="David"/>
          <w:sz w:val="24"/>
          <w:szCs w:val="24"/>
          <w:rtl/>
        </w:rPr>
        <w:lastRenderedPageBreak/>
        <w:t>(100%) בחישוב מחזור המכירות הקובע של תאגיד א, אף אם הכנסות אלו לא אוחדו בדוחות הכספיים של תאגיד א.</w:t>
      </w:r>
      <w:r w:rsidRPr="001329C7">
        <w:rPr>
          <w:rStyle w:val="FootnoteReference"/>
          <w:rFonts w:ascii="Alef" w:hAnsi="Alef" w:cs="David"/>
          <w:sz w:val="24"/>
          <w:szCs w:val="24"/>
          <w:rtl/>
        </w:rPr>
        <w:footnoteReference w:id="17"/>
      </w:r>
      <w:r w:rsidRPr="001329C7">
        <w:rPr>
          <w:rFonts w:ascii="Alef" w:hAnsi="Alef" w:cs="David"/>
          <w:sz w:val="24"/>
          <w:szCs w:val="24"/>
          <w:rtl/>
        </w:rPr>
        <w:t xml:space="preserve"> </w:t>
      </w:r>
    </w:p>
    <w:p w:rsidR="007B4C3E" w:rsidRPr="001329C7" w:rsidRDefault="007B4C3E" w:rsidP="007B4C3E">
      <w:pPr>
        <w:numPr>
          <w:ilvl w:val="0"/>
          <w:numId w:val="14"/>
        </w:numPr>
        <w:spacing w:before="120" w:after="0" w:line="360" w:lineRule="auto"/>
        <w:jc w:val="both"/>
        <w:rPr>
          <w:rFonts w:ascii="Alef" w:hAnsi="Alef" w:cs="David"/>
          <w:b/>
          <w:bCs/>
          <w:sz w:val="24"/>
          <w:szCs w:val="24"/>
        </w:rPr>
      </w:pPr>
      <w:r w:rsidRPr="001329C7">
        <w:rPr>
          <w:rFonts w:ascii="Alef" w:hAnsi="Alef" w:cs="David"/>
          <w:b/>
          <w:bCs/>
          <w:sz w:val="24"/>
          <w:szCs w:val="24"/>
          <w:rtl/>
        </w:rPr>
        <w:t>מחזור המכירות הקובע בתאגיד שנשלט במשותף</w:t>
      </w:r>
    </w:p>
    <w:p w:rsidR="007B4C3E" w:rsidRPr="001329C7" w:rsidRDefault="007B4C3E" w:rsidP="007B4C3E">
      <w:pPr>
        <w:spacing w:line="360" w:lineRule="auto"/>
        <w:jc w:val="both"/>
        <w:rPr>
          <w:rFonts w:ascii="Alef" w:hAnsi="Alef" w:cs="David"/>
          <w:sz w:val="24"/>
          <w:szCs w:val="24"/>
          <w:rtl/>
        </w:rPr>
      </w:pPr>
      <w:r w:rsidRPr="001329C7">
        <w:rPr>
          <w:rFonts w:ascii="Alef" w:hAnsi="Alef" w:cs="David"/>
          <w:sz w:val="24"/>
          <w:szCs w:val="24"/>
          <w:rtl/>
        </w:rPr>
        <w:t xml:space="preserve">מחזור המכירות הקובע של תאגיד שנשלט במשותף על ידי מספר גורמים ייוחס </w:t>
      </w:r>
      <w:r w:rsidRPr="001329C7">
        <w:rPr>
          <w:rFonts w:ascii="Alef" w:hAnsi="Alef" w:cs="David"/>
          <w:sz w:val="24"/>
          <w:szCs w:val="24"/>
          <w:u w:val="single"/>
          <w:rtl/>
        </w:rPr>
        <w:t>במלואו</w:t>
      </w:r>
      <w:r w:rsidRPr="001329C7">
        <w:rPr>
          <w:rFonts w:ascii="Alef" w:hAnsi="Alef" w:cs="David"/>
          <w:sz w:val="24"/>
          <w:szCs w:val="24"/>
          <w:rtl/>
        </w:rPr>
        <w:t xml:space="preserve"> לכל אחד מהשולטים בתאגיד בנפרד.</w:t>
      </w:r>
      <w:r w:rsidRPr="001329C7">
        <w:rPr>
          <w:rStyle w:val="FootnoteReference"/>
          <w:rFonts w:ascii="Alef" w:hAnsi="Alef" w:cs="David"/>
          <w:sz w:val="24"/>
          <w:szCs w:val="24"/>
          <w:rtl/>
        </w:rPr>
        <w:footnoteReference w:id="18"/>
      </w:r>
      <w:r w:rsidRPr="001329C7">
        <w:rPr>
          <w:rFonts w:ascii="Alef" w:hAnsi="Alef" w:cs="David"/>
          <w:sz w:val="24"/>
          <w:szCs w:val="24"/>
          <w:rtl/>
        </w:rPr>
        <w:t xml:space="preserve"> לדוגמא, מחזור המכירות של תאגיד שנשלט על ידי גורם א (50%) וגורם ב (50%) במשותף, ייכלל כולו (100%) הן בחישוב מחזור המכירות הקובע של גורם א והן בחישוב מחזור המכירות הקובע של גורם ב.</w:t>
      </w:r>
      <w:r w:rsidRPr="001329C7">
        <w:rPr>
          <w:rStyle w:val="FootnoteReference"/>
          <w:rFonts w:ascii="Alef" w:hAnsi="Alef" w:cs="David"/>
          <w:sz w:val="24"/>
          <w:szCs w:val="24"/>
          <w:rtl/>
        </w:rPr>
        <w:footnoteReference w:id="19"/>
      </w:r>
      <w:r w:rsidRPr="001329C7">
        <w:rPr>
          <w:rFonts w:ascii="Alef" w:hAnsi="Alef" w:cs="David"/>
          <w:sz w:val="24"/>
          <w:szCs w:val="24"/>
          <w:rtl/>
        </w:rPr>
        <w:t xml:space="preserve"> </w:t>
      </w:r>
    </w:p>
    <w:p w:rsidR="007B4C3E" w:rsidRPr="00010A83" w:rsidRDefault="007B4C3E" w:rsidP="00185D11">
      <w:pPr>
        <w:numPr>
          <w:ilvl w:val="0"/>
          <w:numId w:val="14"/>
        </w:numPr>
        <w:spacing w:before="120" w:after="0" w:line="360" w:lineRule="auto"/>
        <w:jc w:val="both"/>
        <w:rPr>
          <w:rFonts w:ascii="Alef" w:hAnsi="Alef" w:cs="David"/>
          <w:b/>
          <w:bCs/>
          <w:sz w:val="24"/>
          <w:szCs w:val="24"/>
          <w:rtl/>
        </w:rPr>
      </w:pPr>
      <w:r w:rsidRPr="00010A83">
        <w:rPr>
          <w:rFonts w:ascii="Alef" w:hAnsi="Alef" w:cs="David"/>
          <w:b/>
          <w:bCs/>
          <w:sz w:val="24"/>
          <w:szCs w:val="24"/>
          <w:rtl/>
        </w:rPr>
        <w:lastRenderedPageBreak/>
        <w:t>מחזור המכירות הקובע יכלול גם הכנסות משות</w:t>
      </w:r>
      <w:r w:rsidR="00010A83" w:rsidRPr="00010A83">
        <w:rPr>
          <w:rFonts w:ascii="Alef" w:hAnsi="Alef" w:cs="David"/>
          <w:b/>
          <w:bCs/>
          <w:sz w:val="24"/>
          <w:szCs w:val="24"/>
          <w:rtl/>
        </w:rPr>
        <w:t>פויות, פעילויות משותפות ועסקאות</w:t>
      </w:r>
      <w:r w:rsidR="00010A83">
        <w:rPr>
          <w:rFonts w:ascii="Alef" w:hAnsi="Alef" w:cs="David" w:hint="cs"/>
          <w:b/>
          <w:bCs/>
          <w:sz w:val="24"/>
          <w:szCs w:val="24"/>
          <w:rtl/>
        </w:rPr>
        <w:t xml:space="preserve"> </w:t>
      </w:r>
      <w:r w:rsidRPr="00010A83">
        <w:rPr>
          <w:rFonts w:ascii="Alef" w:hAnsi="Alef" w:cs="David"/>
          <w:b/>
          <w:bCs/>
          <w:sz w:val="24"/>
          <w:szCs w:val="24"/>
          <w:rtl/>
        </w:rPr>
        <w:t xml:space="preserve">משותפות </w:t>
      </w:r>
    </w:p>
    <w:p w:rsidR="007B4C3E" w:rsidRPr="001329C7" w:rsidRDefault="007B4C3E" w:rsidP="007B4C3E">
      <w:pPr>
        <w:spacing w:after="0" w:line="360" w:lineRule="auto"/>
        <w:jc w:val="both"/>
        <w:rPr>
          <w:rFonts w:ascii="Alef" w:hAnsi="Alef" w:cs="David"/>
          <w:sz w:val="24"/>
          <w:szCs w:val="24"/>
          <w:rtl/>
        </w:rPr>
      </w:pPr>
      <w:r w:rsidRPr="001329C7">
        <w:rPr>
          <w:rFonts w:ascii="Alef" w:hAnsi="Alef" w:cs="David"/>
          <w:sz w:val="24"/>
          <w:szCs w:val="24"/>
          <w:rtl/>
        </w:rPr>
        <w:t xml:space="preserve">חישוב מחזור המכירות הקובע יכלול גם מכירות והכנסות ברוטו בשותפות, בהסדר משותף, בפעילות משותפת או בעסקה משותפת (להלן </w:t>
      </w:r>
      <w:r w:rsidRPr="001329C7">
        <w:rPr>
          <w:rFonts w:ascii="Alef" w:hAnsi="Alef" w:cs="David"/>
          <w:b/>
          <w:bCs/>
          <w:sz w:val="24"/>
          <w:szCs w:val="24"/>
          <w:rtl/>
        </w:rPr>
        <w:t>פעילות משותפת</w:t>
      </w:r>
      <w:r w:rsidRPr="001329C7">
        <w:rPr>
          <w:rFonts w:ascii="Alef" w:hAnsi="Alef" w:cs="David"/>
          <w:sz w:val="24"/>
          <w:szCs w:val="24"/>
          <w:rtl/>
        </w:rPr>
        <w:t xml:space="preserve">), אשר לא נכללו במכירות או בהכנסות התאגיד בדוחות הכספיים שלו. </w:t>
      </w:r>
    </w:p>
    <w:p w:rsidR="007B4C3E" w:rsidRDefault="007B4C3E" w:rsidP="007B4C3E">
      <w:pPr>
        <w:spacing w:after="0" w:line="360" w:lineRule="auto"/>
        <w:jc w:val="both"/>
        <w:rPr>
          <w:rFonts w:ascii="Alef" w:hAnsi="Alef" w:cs="David"/>
          <w:sz w:val="24"/>
          <w:szCs w:val="24"/>
          <w:rtl/>
        </w:rPr>
      </w:pPr>
      <w:r w:rsidRPr="001329C7">
        <w:rPr>
          <w:rFonts w:ascii="Alef" w:hAnsi="Alef" w:cs="David"/>
          <w:sz w:val="24"/>
          <w:szCs w:val="24"/>
          <w:rtl/>
        </w:rPr>
        <w:t>אם מדובר בפעילות משותפת שבשליטת התאגיד בהתאם להגדרת השליטה שבחוק (כמפורט לעיל), מחזור המכירות של הפעילות המשותפת ייכלל במלואו בחישוב מחזור המכירות הקובע של כל שולט. אם מדובר בפעילות משותפת שאינה נשלטת על ידי התאגיד, חישוב מחזור המכירות הקובע של הת</w:t>
      </w:r>
      <w:bookmarkEnd w:id="0"/>
      <w:r w:rsidRPr="001329C7">
        <w:rPr>
          <w:rFonts w:ascii="Alef" w:hAnsi="Alef" w:cs="David"/>
          <w:sz w:val="24"/>
          <w:szCs w:val="24"/>
          <w:rtl/>
        </w:rPr>
        <w:t>אגיד יכלול רק את חלקו היחסי של התאגיד בפעילות המשותפת.</w:t>
      </w:r>
    </w:p>
    <w:p w:rsidR="00B402BD" w:rsidRPr="001329C7" w:rsidRDefault="00B402BD" w:rsidP="00B402BD">
      <w:pPr>
        <w:numPr>
          <w:ilvl w:val="0"/>
          <w:numId w:val="14"/>
        </w:numPr>
        <w:spacing w:before="120" w:after="0" w:line="360" w:lineRule="auto"/>
        <w:jc w:val="both"/>
        <w:rPr>
          <w:rFonts w:ascii="Alef" w:hAnsi="Alef" w:cs="David"/>
          <w:b/>
          <w:bCs/>
          <w:sz w:val="24"/>
          <w:szCs w:val="24"/>
        </w:rPr>
      </w:pPr>
      <w:r w:rsidRPr="001329C7">
        <w:rPr>
          <w:rFonts w:ascii="Alef" w:hAnsi="Alef" w:cs="David" w:hint="cs"/>
          <w:b/>
          <w:bCs/>
          <w:sz w:val="24"/>
          <w:szCs w:val="24"/>
          <w:rtl/>
        </w:rPr>
        <w:lastRenderedPageBreak/>
        <w:t>מחזור המכירות הקובע לא יכלול מכירות של גופים פיננסיים</w:t>
      </w:r>
    </w:p>
    <w:p w:rsidR="00B402BD" w:rsidRPr="00B402BD" w:rsidRDefault="00B402BD" w:rsidP="00B402BD">
      <w:pPr>
        <w:spacing w:before="120" w:after="0" w:line="360" w:lineRule="auto"/>
        <w:jc w:val="both"/>
        <w:rPr>
          <w:rFonts w:ascii="Alef" w:hAnsi="Alef" w:cs="David"/>
          <w:b/>
          <w:bCs/>
          <w:sz w:val="24"/>
          <w:szCs w:val="24"/>
          <w:rtl/>
        </w:rPr>
      </w:pPr>
      <w:r w:rsidRPr="001329C7">
        <w:rPr>
          <w:rFonts w:ascii="Alef" w:hAnsi="Alef" w:cs="David" w:hint="cs"/>
          <w:sz w:val="24"/>
          <w:szCs w:val="24"/>
          <w:rtl/>
        </w:rPr>
        <w:t>מחזור המכירות הקובע של תאגיד ריאלי לא יכלול מחזור מכירות של גופים פיננסיים</w:t>
      </w:r>
      <w:r>
        <w:rPr>
          <w:rFonts w:ascii="Alef" w:hAnsi="Alef" w:cs="David" w:hint="cs"/>
          <w:sz w:val="24"/>
          <w:szCs w:val="24"/>
          <w:rtl/>
        </w:rPr>
        <w:t>,</w:t>
      </w:r>
      <w:r>
        <w:rPr>
          <w:rStyle w:val="FootnoteReference"/>
          <w:rFonts w:ascii="Alef" w:hAnsi="Alef" w:cs="David"/>
          <w:sz w:val="24"/>
          <w:szCs w:val="24"/>
          <w:rtl/>
        </w:rPr>
        <w:footnoteReference w:id="20"/>
      </w:r>
      <w:r w:rsidRPr="001329C7">
        <w:rPr>
          <w:rFonts w:ascii="Alef" w:hAnsi="Alef" w:cs="David" w:hint="cs"/>
          <w:sz w:val="24"/>
          <w:szCs w:val="24"/>
          <w:rtl/>
        </w:rPr>
        <w:t xml:space="preserve"> אף אם אלו שולטים בתאגיד הריאלי או נשלטים על ידו או על ידי השולטים בו. זאת, היות שמחזור המכירות הקובע נועד למדוד את היקף הפעילות הריאלית של התאגיד. מדידת פעילותם של גופים פיננסיים נעשית בסעיפים אחרים ב</w:t>
      </w:r>
      <w:r>
        <w:rPr>
          <w:rFonts w:ascii="Alef" w:hAnsi="Alef" w:cs="David" w:hint="cs"/>
          <w:sz w:val="24"/>
          <w:szCs w:val="24"/>
          <w:rtl/>
        </w:rPr>
        <w:t>חוק, לפי הפרמטרים הקבועים בהם.</w:t>
      </w: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8025FA" w:rsidRDefault="008025FA" w:rsidP="008025FA">
      <w:pPr>
        <w:spacing w:after="0" w:line="360" w:lineRule="auto"/>
        <w:jc w:val="both"/>
        <w:rPr>
          <w:rFonts w:ascii="Alef" w:hAnsi="Alef" w:cs="David"/>
          <w:sz w:val="24"/>
          <w:rtl/>
        </w:rPr>
      </w:pPr>
    </w:p>
    <w:p w:rsidR="007B4C3E" w:rsidRPr="008025FA" w:rsidRDefault="007B4C3E" w:rsidP="008025FA">
      <w:pPr>
        <w:spacing w:before="120" w:after="160" w:line="360" w:lineRule="auto"/>
        <w:jc w:val="center"/>
        <w:rPr>
          <w:rFonts w:ascii="Alef" w:hAnsi="Alef" w:cs="David"/>
          <w:b/>
          <w:bCs/>
          <w:sz w:val="32"/>
          <w:szCs w:val="32"/>
          <w:u w:val="single"/>
        </w:rPr>
      </w:pPr>
      <w:r w:rsidRPr="008025FA">
        <w:rPr>
          <w:rFonts w:ascii="Alef" w:hAnsi="Alef" w:cs="David"/>
          <w:b/>
          <w:bCs/>
          <w:sz w:val="32"/>
          <w:szCs w:val="32"/>
          <w:u w:val="single"/>
          <w:rtl/>
        </w:rPr>
        <w:t>האשראי הקובע</w:t>
      </w:r>
    </w:p>
    <w:p w:rsidR="007B4C3E" w:rsidRPr="001329C7" w:rsidRDefault="007B4C3E" w:rsidP="007B4C3E">
      <w:pPr>
        <w:rPr>
          <w:rFonts w:ascii="Alef" w:hAnsi="Alef" w:cs="David"/>
          <w:sz w:val="24"/>
          <w:szCs w:val="24"/>
          <w:rtl/>
        </w:rPr>
      </w:pPr>
      <w:r w:rsidRPr="001329C7">
        <w:rPr>
          <w:rFonts w:ascii="Alef" w:hAnsi="Alef" w:cs="David"/>
          <w:sz w:val="24"/>
          <w:szCs w:val="24"/>
          <w:rtl/>
        </w:rPr>
        <w:t>סעיף 30(ה) לחוק מגדיר:</w:t>
      </w:r>
    </w:p>
    <w:p w:rsidR="007B4C3E" w:rsidRPr="001329C7" w:rsidRDefault="007B4C3E" w:rsidP="007B4C3E">
      <w:pPr>
        <w:pStyle w:val="P00"/>
        <w:spacing w:before="72"/>
        <w:ind w:left="368" w:right="426"/>
        <w:rPr>
          <w:rFonts w:ascii="Alef" w:hAnsi="Alef" w:cs="David"/>
          <w:i/>
          <w:iCs/>
          <w:noProof w:val="0"/>
          <w:sz w:val="24"/>
          <w:szCs w:val="24"/>
          <w:rtl/>
        </w:rPr>
      </w:pPr>
      <w:r w:rsidRPr="001329C7">
        <w:rPr>
          <w:rFonts w:ascii="Alef" w:hAnsi="Alef" w:cs="David"/>
          <w:b/>
          <w:bCs/>
          <w:i/>
          <w:iCs/>
          <w:noProof w:val="0"/>
          <w:sz w:val="24"/>
          <w:szCs w:val="24"/>
          <w:rtl/>
        </w:rPr>
        <w:t>"אשראי</w:t>
      </w:r>
      <w:r w:rsidRPr="001329C7">
        <w:rPr>
          <w:rFonts w:ascii="Alef" w:hAnsi="Alef" w:cs="David"/>
          <w:i/>
          <w:iCs/>
          <w:noProof w:val="0"/>
          <w:sz w:val="24"/>
          <w:szCs w:val="24"/>
          <w:rtl/>
        </w:rPr>
        <w:t xml:space="preserve">" – אשראי שקיבל אדם מגוף פיננסי בישראל או מתאגיד בישראל שבשליטת גוף </w:t>
      </w:r>
      <w:r w:rsidRPr="001329C7">
        <w:rPr>
          <w:rFonts w:ascii="Alef" w:eastAsiaTheme="minorHAnsi" w:hAnsi="Alef" w:cs="David"/>
          <w:i/>
          <w:iCs/>
          <w:noProof w:val="0"/>
          <w:sz w:val="24"/>
          <w:szCs w:val="24"/>
          <w:rtl/>
          <w:lang w:eastAsia="en-US"/>
        </w:rPr>
        <w:t>פיננסי כאמור וכן</w:t>
      </w:r>
      <w:r w:rsidRPr="001329C7">
        <w:rPr>
          <w:rFonts w:ascii="Alef" w:hAnsi="Alef" w:cs="David"/>
          <w:i/>
          <w:iCs/>
          <w:noProof w:val="0"/>
          <w:sz w:val="24"/>
          <w:szCs w:val="24"/>
          <w:rtl/>
        </w:rPr>
        <w:t xml:space="preserve"> איגרות חוב שהנפיק אדם בישראל לרבות באמצעות תאגיד </w:t>
      </w:r>
      <w:r w:rsidRPr="001329C7">
        <w:rPr>
          <w:rFonts w:ascii="Alef" w:hAnsi="Alef" w:cs="David"/>
          <w:i/>
          <w:iCs/>
          <w:noProof w:val="0"/>
          <w:sz w:val="24"/>
          <w:szCs w:val="24"/>
          <w:rtl/>
        </w:rPr>
        <w:lastRenderedPageBreak/>
        <w:t>שבשליטתו.</w:t>
      </w:r>
      <w:r w:rsidRPr="001329C7">
        <w:rPr>
          <w:rFonts w:ascii="Alef" w:hAnsi="Alef" w:cs="David"/>
          <w:i/>
          <w:iCs/>
          <w:noProof w:val="0"/>
          <w:sz w:val="24"/>
          <w:szCs w:val="24"/>
          <w:vertAlign w:val="superscript"/>
          <w:rtl/>
        </w:rPr>
        <w:footnoteReference w:id="21"/>
      </w:r>
    </w:p>
    <w:p w:rsidR="007B4C3E" w:rsidRPr="001329C7" w:rsidRDefault="007B4C3E" w:rsidP="007B4C3E">
      <w:pPr>
        <w:pStyle w:val="P00"/>
        <w:spacing w:before="72"/>
        <w:ind w:left="368" w:right="426"/>
        <w:rPr>
          <w:rFonts w:ascii="Alef" w:hAnsi="Alef" w:cs="David"/>
          <w:i/>
          <w:iCs/>
          <w:noProof w:val="0"/>
          <w:sz w:val="24"/>
          <w:szCs w:val="24"/>
          <w:rtl/>
        </w:rPr>
      </w:pPr>
      <w:r w:rsidRPr="001329C7">
        <w:rPr>
          <w:rFonts w:ascii="Alef" w:hAnsi="Alef" w:cs="David"/>
          <w:b/>
          <w:bCs/>
          <w:i/>
          <w:iCs/>
          <w:noProof w:val="0"/>
          <w:sz w:val="24"/>
          <w:szCs w:val="24"/>
          <w:rtl/>
        </w:rPr>
        <w:t>"אשראי קובע"</w:t>
      </w:r>
      <w:r w:rsidRPr="001329C7">
        <w:rPr>
          <w:rFonts w:ascii="Alef" w:hAnsi="Alef" w:cs="David"/>
          <w:i/>
          <w:iCs/>
          <w:noProof w:val="0"/>
          <w:sz w:val="24"/>
          <w:szCs w:val="24"/>
          <w:rtl/>
        </w:rPr>
        <w:t xml:space="preserve"> – יתרת האשראי שאדם חב בו בסוף שנת הכספים הקודמת בהתאם לדרך החישוב שתורה הוועדה לצמצום הריכוזיות, ולגבי תאגיד שערך דוח כספי שנתי לגבי אותה שנת כספים – יתרת האשראי נטו המופיעה במאזן שבאותו דוח, ולעניין זה יראו אשראי נטו כאשראי המופיע במאזן בניכוי מזומנים, שווי מזומנים ופיקדונות בתאגידים בנקאיים; </w:t>
      </w:r>
    </w:p>
    <w:p w:rsidR="007B4C3E" w:rsidRPr="001329C7" w:rsidRDefault="007B4C3E" w:rsidP="007B4C3E">
      <w:pPr>
        <w:spacing w:after="0"/>
        <w:rPr>
          <w:rFonts w:ascii="Alef" w:hAnsi="Alef" w:cs="David"/>
          <w:sz w:val="24"/>
          <w:rtl/>
        </w:rPr>
      </w:pPr>
    </w:p>
    <w:p w:rsidR="007B4C3E" w:rsidRPr="001329C7" w:rsidRDefault="00B74D76" w:rsidP="00246680">
      <w:pPr>
        <w:spacing w:line="240" w:lineRule="auto"/>
        <w:rPr>
          <w:rFonts w:ascii="Alef" w:hAnsi="Alef" w:cs="David"/>
          <w:b/>
          <w:bCs/>
          <w:sz w:val="24"/>
          <w:szCs w:val="24"/>
          <w:u w:val="single"/>
          <w:rtl/>
        </w:rPr>
      </w:pPr>
      <w:r>
        <w:rPr>
          <w:rFonts w:ascii="Alef" w:hAnsi="Alef" w:cs="David"/>
          <w:b/>
          <w:bCs/>
          <w:sz w:val="24"/>
          <w:szCs w:val="24"/>
          <w:u w:val="single"/>
          <w:rtl/>
        </w:rPr>
        <w:t xml:space="preserve">הבהרות </w:t>
      </w:r>
    </w:p>
    <w:p w:rsidR="007B4C3E" w:rsidRPr="001329C7" w:rsidRDefault="007B4C3E" w:rsidP="00F973A0">
      <w:pPr>
        <w:jc w:val="both"/>
        <w:rPr>
          <w:rFonts w:ascii="Alef" w:hAnsi="Alef" w:cs="David"/>
          <w:sz w:val="24"/>
          <w:szCs w:val="24"/>
          <w:rtl/>
        </w:rPr>
      </w:pPr>
      <w:r w:rsidRPr="001329C7">
        <w:rPr>
          <w:rFonts w:ascii="Alef" w:hAnsi="Alef" w:cs="David"/>
          <w:sz w:val="24"/>
          <w:szCs w:val="24"/>
          <w:rtl/>
        </w:rPr>
        <w:lastRenderedPageBreak/>
        <w:t>בהתאם לסמכותה, מורה הוועדה כי חישוב האשראי הקובע יבוצע באופן הבא:</w:t>
      </w:r>
    </w:p>
    <w:p w:rsidR="007B4C3E" w:rsidRPr="001329C7" w:rsidRDefault="007B4C3E" w:rsidP="00F973A0">
      <w:pPr>
        <w:pStyle w:val="ListParagraph"/>
        <w:numPr>
          <w:ilvl w:val="0"/>
          <w:numId w:val="15"/>
        </w:numPr>
        <w:spacing w:before="120"/>
        <w:contextualSpacing/>
        <w:rPr>
          <w:rFonts w:ascii="Alef" w:hAnsi="Alef"/>
          <w:b/>
          <w:bCs/>
          <w:sz w:val="24"/>
          <w:szCs w:val="24"/>
        </w:rPr>
      </w:pPr>
      <w:r w:rsidRPr="001329C7">
        <w:rPr>
          <w:rFonts w:ascii="Alef" w:hAnsi="Alef"/>
          <w:b/>
          <w:bCs/>
          <w:sz w:val="24"/>
          <w:szCs w:val="24"/>
          <w:rtl/>
        </w:rPr>
        <w:t>האשראי הקובע של כל תאגיד בקבוצה יחושב בנפרד</w:t>
      </w:r>
    </w:p>
    <w:p w:rsidR="007B4C3E" w:rsidRPr="001329C7" w:rsidRDefault="007B4C3E" w:rsidP="00F973A0">
      <w:pPr>
        <w:spacing w:after="0" w:line="360" w:lineRule="auto"/>
        <w:jc w:val="both"/>
        <w:rPr>
          <w:rFonts w:ascii="Alef" w:hAnsi="Alef" w:cs="David"/>
          <w:sz w:val="24"/>
          <w:szCs w:val="24"/>
        </w:rPr>
      </w:pPr>
      <w:r w:rsidRPr="001329C7">
        <w:rPr>
          <w:rFonts w:ascii="Alef" w:hAnsi="Alef" w:cs="David"/>
          <w:sz w:val="24"/>
          <w:szCs w:val="24"/>
          <w:rtl/>
        </w:rPr>
        <w:t xml:space="preserve">תחילה, יחושב האשראי הקובע בנפרד עבור כל תאגיד בקבוצה, למעט בתאגידים שדוחותיהם אוחדו שיחושבו לפי הדוח המאוחד. </w:t>
      </w:r>
    </w:p>
    <w:p w:rsidR="007B4C3E" w:rsidRPr="001329C7" w:rsidRDefault="007B4C3E" w:rsidP="00F973A0">
      <w:pPr>
        <w:spacing w:after="0" w:line="360" w:lineRule="auto"/>
        <w:jc w:val="both"/>
        <w:rPr>
          <w:rFonts w:ascii="Alef" w:hAnsi="Alef" w:cs="David"/>
          <w:sz w:val="24"/>
          <w:szCs w:val="24"/>
          <w:rtl/>
        </w:rPr>
      </w:pPr>
      <w:r w:rsidRPr="001329C7">
        <w:rPr>
          <w:rFonts w:ascii="Alef" w:hAnsi="Alef" w:cs="David"/>
          <w:sz w:val="24"/>
          <w:szCs w:val="24"/>
          <w:rtl/>
        </w:rPr>
        <w:t>האשראי נטו, היינו האשראי בניכוי מזומנים, שווי מזומנים ופיקדונות בתאגידים בנקאיים של תאגיד בודד (או של התאגידים שדוחותיהם אוחדו כאמור), לא יהיה נמוך מאפס. דהיינו, אם בתאגיד מסוים יתרת המזומנים, שווי המזומנים והפיקדונות בתאגידים בנקאיים עולה על יתרת האשראי, האשראי הקובע של התאגיד הבודד (או של הקבוצה כאמור) יהיה אפס</w:t>
      </w:r>
      <w:r w:rsidRPr="001329C7">
        <w:rPr>
          <w:rFonts w:ascii="Alef" w:hAnsi="Alef" w:cs="David" w:hint="cs"/>
          <w:sz w:val="24"/>
          <w:szCs w:val="24"/>
          <w:rtl/>
        </w:rPr>
        <w:t xml:space="preserve"> (ולא שלילי)</w:t>
      </w:r>
      <w:r w:rsidRPr="001329C7">
        <w:rPr>
          <w:rFonts w:ascii="Alef" w:hAnsi="Alef" w:cs="David"/>
          <w:sz w:val="24"/>
          <w:szCs w:val="24"/>
          <w:rtl/>
        </w:rPr>
        <w:t>.</w:t>
      </w:r>
    </w:p>
    <w:p w:rsidR="007B4C3E" w:rsidRPr="001329C7" w:rsidRDefault="007B4C3E" w:rsidP="00F973A0">
      <w:pPr>
        <w:spacing w:after="0" w:line="360" w:lineRule="auto"/>
        <w:jc w:val="both"/>
        <w:rPr>
          <w:rFonts w:ascii="Alef" w:hAnsi="Alef" w:cs="David"/>
          <w:sz w:val="24"/>
          <w:szCs w:val="24"/>
          <w:rtl/>
        </w:rPr>
      </w:pPr>
      <w:r w:rsidRPr="001329C7">
        <w:rPr>
          <w:rFonts w:ascii="Alef" w:hAnsi="Alef" w:cs="David"/>
          <w:sz w:val="24"/>
          <w:szCs w:val="24"/>
          <w:rtl/>
        </w:rPr>
        <w:t xml:space="preserve">הסיבה שביצוע תחשיב האשראי נטו אינו נעשה באופן מאוחד לכל התאגידים בעלי קשרי שליטה היא שבשל 'עקרון הישות המשפטית הנפרדת' יש משמעות כלכלית לאשראי שמקבל כל תאגיד בנפרד. כך, </w:t>
      </w:r>
      <w:r w:rsidRPr="001329C7">
        <w:rPr>
          <w:rFonts w:ascii="Alef" w:hAnsi="Alef" w:cs="David"/>
          <w:sz w:val="24"/>
          <w:szCs w:val="24"/>
          <w:rtl/>
        </w:rPr>
        <w:lastRenderedPageBreak/>
        <w:t xml:space="preserve">במקרים רבים לנושים אין גישה למזומנים שמוחזקים על ידי תאגידים אחרים שמצויים עמם בקשרי שליטה. </w:t>
      </w:r>
    </w:p>
    <w:p w:rsidR="007B4C3E" w:rsidRPr="001329C7" w:rsidRDefault="007B4C3E" w:rsidP="00F973A0">
      <w:pPr>
        <w:spacing w:before="120" w:after="0" w:line="360" w:lineRule="auto"/>
        <w:jc w:val="both"/>
        <w:rPr>
          <w:rFonts w:ascii="Alef" w:hAnsi="Alef" w:cs="David"/>
          <w:b/>
          <w:bCs/>
          <w:sz w:val="24"/>
          <w:szCs w:val="24"/>
          <w:rtl/>
        </w:rPr>
      </w:pPr>
      <w:r w:rsidRPr="001329C7">
        <w:rPr>
          <w:rFonts w:ascii="Alef" w:hAnsi="Alef" w:cs="David"/>
          <w:sz w:val="24"/>
          <w:szCs w:val="24"/>
          <w:rtl/>
        </w:rPr>
        <w:t xml:space="preserve">על פי אותו עקרון היה נכון לקבוע שכל תאגיד בקבוצה ידווח בנפרד (על פי דוח הסולו שלו) אף אם דוחותיו מאוחדים, ואולם על מנת להקל על התאגידים שנדרשים למסור נתונים על היקפי האשראי לוועדה, התחשיב אינו מתייחס בנפרד לתאגידים שדוחותיהם אוחדו. </w:t>
      </w:r>
    </w:p>
    <w:p w:rsidR="007B4C3E" w:rsidRPr="001329C7" w:rsidRDefault="007B4C3E" w:rsidP="007B4C3E">
      <w:pPr>
        <w:pStyle w:val="ListParagraph"/>
        <w:numPr>
          <w:ilvl w:val="0"/>
          <w:numId w:val="15"/>
        </w:numPr>
        <w:spacing w:before="120"/>
        <w:contextualSpacing/>
        <w:rPr>
          <w:rFonts w:ascii="Alef" w:hAnsi="Alef"/>
          <w:b/>
          <w:bCs/>
          <w:sz w:val="24"/>
          <w:szCs w:val="24"/>
        </w:rPr>
      </w:pPr>
      <w:r w:rsidRPr="001329C7">
        <w:rPr>
          <w:rFonts w:ascii="Alef" w:hAnsi="Alef"/>
          <w:b/>
          <w:bCs/>
          <w:sz w:val="24"/>
          <w:szCs w:val="24"/>
          <w:rtl/>
        </w:rPr>
        <w:t>האשראי הקובע של הקבוצה</w:t>
      </w:r>
    </w:p>
    <w:p w:rsidR="00F973A0" w:rsidRDefault="007B4C3E" w:rsidP="008222F7">
      <w:pPr>
        <w:spacing w:after="0" w:line="360" w:lineRule="auto"/>
        <w:jc w:val="both"/>
        <w:rPr>
          <w:rFonts w:ascii="Alef" w:hAnsi="Alef" w:cs="David"/>
          <w:sz w:val="24"/>
          <w:szCs w:val="24"/>
          <w:rtl/>
        </w:rPr>
      </w:pPr>
      <w:r w:rsidRPr="001329C7">
        <w:rPr>
          <w:rFonts w:ascii="Alef" w:hAnsi="Alef" w:cs="David"/>
          <w:sz w:val="24"/>
          <w:szCs w:val="24"/>
          <w:rtl/>
        </w:rPr>
        <w:t xml:space="preserve">לאחר חישוב האשראי הקובע עבור כל תאגיד בנפרד, לרבות קבוצות תאגידים שדוחותיהם אוחדו, יחושב האשראי הקובע של הקבוצה כולה באמצעות </w:t>
      </w:r>
      <w:proofErr w:type="spellStart"/>
      <w:r w:rsidRPr="001329C7">
        <w:rPr>
          <w:rFonts w:ascii="Alef" w:hAnsi="Alef" w:cs="David"/>
          <w:sz w:val="24"/>
          <w:szCs w:val="24"/>
          <w:rtl/>
        </w:rPr>
        <w:t>סכ</w:t>
      </w:r>
      <w:r w:rsidRPr="001329C7">
        <w:rPr>
          <w:rFonts w:ascii="Alef" w:hAnsi="Alef" w:cs="David" w:hint="cs"/>
          <w:sz w:val="24"/>
          <w:szCs w:val="24"/>
          <w:rtl/>
        </w:rPr>
        <w:t>י</w:t>
      </w:r>
      <w:r w:rsidRPr="001329C7">
        <w:rPr>
          <w:rFonts w:ascii="Alef" w:hAnsi="Alef" w:cs="David"/>
          <w:sz w:val="24"/>
          <w:szCs w:val="24"/>
          <w:rtl/>
        </w:rPr>
        <w:t>מת</w:t>
      </w:r>
      <w:proofErr w:type="spellEnd"/>
      <w:r w:rsidRPr="001329C7">
        <w:rPr>
          <w:rFonts w:ascii="Alef" w:hAnsi="Alef" w:cs="David"/>
          <w:sz w:val="24"/>
          <w:szCs w:val="24"/>
          <w:rtl/>
        </w:rPr>
        <w:t xml:space="preserve"> האשראי הקובע של כל התאגידים הריאליים בקבוצה (האשראי של השולט בקבוצה ושל כל התאגידים הריאליים שבשליטתו).</w:t>
      </w:r>
    </w:p>
    <w:p w:rsidR="008222F7" w:rsidRDefault="008222F7" w:rsidP="008222F7">
      <w:pPr>
        <w:spacing w:after="0" w:line="360" w:lineRule="auto"/>
        <w:jc w:val="both"/>
        <w:rPr>
          <w:rFonts w:ascii="Alef" w:hAnsi="Alef" w:cs="David"/>
          <w:sz w:val="24"/>
          <w:szCs w:val="24"/>
          <w:rtl/>
        </w:rPr>
      </w:pPr>
    </w:p>
    <w:p w:rsidR="008222F7" w:rsidRPr="001329C7" w:rsidRDefault="008222F7" w:rsidP="008222F7">
      <w:pPr>
        <w:spacing w:after="0" w:line="360" w:lineRule="auto"/>
        <w:jc w:val="both"/>
        <w:rPr>
          <w:rFonts w:ascii="Alef" w:hAnsi="Alef" w:cs="David"/>
          <w:sz w:val="24"/>
          <w:szCs w:val="24"/>
          <w:rtl/>
        </w:rPr>
      </w:pPr>
    </w:p>
    <w:p w:rsidR="007B4C3E" w:rsidRPr="001329C7" w:rsidRDefault="007B4C3E" w:rsidP="007B4C3E">
      <w:pPr>
        <w:pStyle w:val="ListParagraph"/>
        <w:numPr>
          <w:ilvl w:val="0"/>
          <w:numId w:val="15"/>
        </w:numPr>
        <w:spacing w:before="120"/>
        <w:contextualSpacing/>
        <w:rPr>
          <w:rFonts w:ascii="Alef" w:hAnsi="Alef"/>
          <w:b/>
          <w:bCs/>
          <w:sz w:val="24"/>
          <w:szCs w:val="24"/>
        </w:rPr>
      </w:pPr>
      <w:r w:rsidRPr="001329C7">
        <w:rPr>
          <w:rFonts w:ascii="Alef" w:hAnsi="Alef"/>
          <w:b/>
          <w:bCs/>
          <w:sz w:val="24"/>
          <w:szCs w:val="24"/>
          <w:rtl/>
        </w:rPr>
        <w:t>הלוואות מתאגידים קשורים</w:t>
      </w:r>
    </w:p>
    <w:p w:rsidR="007B4C3E" w:rsidRPr="001329C7" w:rsidRDefault="007B4C3E" w:rsidP="007B4C3E">
      <w:pPr>
        <w:spacing w:after="0" w:line="360" w:lineRule="auto"/>
        <w:jc w:val="both"/>
        <w:rPr>
          <w:rFonts w:ascii="Alef" w:hAnsi="Alef" w:cs="David"/>
          <w:sz w:val="24"/>
          <w:szCs w:val="24"/>
          <w:rtl/>
        </w:rPr>
      </w:pPr>
      <w:r w:rsidRPr="001329C7">
        <w:rPr>
          <w:rFonts w:ascii="Alef" w:hAnsi="Alef" w:cs="David"/>
          <w:sz w:val="24"/>
          <w:szCs w:val="24"/>
          <w:rtl/>
        </w:rPr>
        <w:t>האשראי הקובע יתקבל מיתרת האשראי המופיעה בדוחות הכספיים של התאגידים בקבוצה בניכוי מזומנים, שווי מזומנים ופיקדונות בתאגידים בנקאיים. המזומנים, שווי המזומנים והפיקדונות הבנקאיים שינוכו מיתרת האשראי לא יכללו את יתרת ההלוואות שהתקבלו מתאגידים קשורים (עם התאגיד בקשרי שליטה). לדוגמה במקרה שתאגיד א קיבל הלוואה מתאגיד ב הנשלט על ידו, סכום ההלוואה יופחת מסכום המזומנים, שווי המזומנים והפיקדונות שינוכו מיתרת האשראי של תאגיד א.</w:t>
      </w:r>
      <w:r w:rsidRPr="001329C7">
        <w:rPr>
          <w:rStyle w:val="FootnoteReference"/>
          <w:rFonts w:ascii="Alef" w:hAnsi="Alef" w:cs="David"/>
          <w:sz w:val="24"/>
          <w:szCs w:val="24"/>
          <w:rtl/>
        </w:rPr>
        <w:footnoteReference w:id="22"/>
      </w:r>
      <w:r w:rsidRPr="001329C7">
        <w:rPr>
          <w:rFonts w:ascii="Alef" w:hAnsi="Alef" w:cs="David"/>
          <w:sz w:val="24"/>
          <w:szCs w:val="24"/>
          <w:rtl/>
        </w:rPr>
        <w:t xml:space="preserve"> </w:t>
      </w:r>
    </w:p>
    <w:p w:rsidR="007B4C3E" w:rsidRPr="001329C7" w:rsidRDefault="007B4C3E" w:rsidP="007B4C3E">
      <w:pPr>
        <w:spacing w:after="0" w:line="360" w:lineRule="auto"/>
        <w:jc w:val="both"/>
        <w:rPr>
          <w:rFonts w:ascii="Alef" w:hAnsi="Alef" w:cs="David"/>
          <w:sz w:val="24"/>
          <w:szCs w:val="24"/>
          <w:rtl/>
        </w:rPr>
      </w:pPr>
      <w:r w:rsidRPr="001329C7">
        <w:rPr>
          <w:rFonts w:ascii="Alef" w:hAnsi="Alef" w:cs="David"/>
          <w:sz w:val="24"/>
          <w:szCs w:val="24"/>
          <w:rtl/>
        </w:rPr>
        <w:t xml:space="preserve">הסיבה לכך היא שמזומנים שמקורם בהלוואות מתאגידים קשורים אינם מצביעים על יתרת מזומנים אמתית בהתאם לכוונת הסעיף </w:t>
      </w:r>
      <w:r w:rsidRPr="001329C7">
        <w:rPr>
          <w:rFonts w:ascii="Alef" w:hAnsi="Alef" w:cs="David"/>
          <w:sz w:val="24"/>
          <w:szCs w:val="24"/>
          <w:rtl/>
        </w:rPr>
        <w:lastRenderedPageBreak/>
        <w:t>בחוק. כמו כן, מזומנים אלו עשויים לנבוע מפעולה חשבונאית נעדרת מהות כלכלית אשר תקטין את האשראי הקובע, מבלי שישתנו סיכוני האשראי של התאגיד.</w:t>
      </w:r>
    </w:p>
    <w:p w:rsidR="007B4C3E" w:rsidRPr="001329C7" w:rsidRDefault="007B4C3E" w:rsidP="007B4C3E">
      <w:pPr>
        <w:pStyle w:val="ListParagraph"/>
        <w:numPr>
          <w:ilvl w:val="0"/>
          <w:numId w:val="15"/>
        </w:numPr>
        <w:contextualSpacing/>
        <w:rPr>
          <w:rFonts w:ascii="Alef" w:hAnsi="Alef"/>
          <w:b/>
          <w:bCs/>
          <w:sz w:val="24"/>
          <w:szCs w:val="24"/>
        </w:rPr>
      </w:pPr>
      <w:r w:rsidRPr="001329C7">
        <w:rPr>
          <w:rFonts w:ascii="Alef" w:hAnsi="Alef"/>
          <w:b/>
          <w:bCs/>
          <w:sz w:val="24"/>
          <w:szCs w:val="24"/>
          <w:rtl/>
        </w:rPr>
        <w:t xml:space="preserve">האשראי הקובע יכלול את מלוא האשראי הקובע של כל תאגיד נשלט </w:t>
      </w:r>
    </w:p>
    <w:p w:rsidR="007B4C3E" w:rsidRPr="001329C7" w:rsidRDefault="007B4C3E" w:rsidP="007B4C3E">
      <w:pPr>
        <w:spacing w:after="0" w:line="360" w:lineRule="auto"/>
        <w:jc w:val="both"/>
        <w:rPr>
          <w:rFonts w:ascii="Alef" w:hAnsi="Alef" w:cs="David"/>
          <w:sz w:val="24"/>
          <w:szCs w:val="24"/>
          <w:rtl/>
        </w:rPr>
      </w:pPr>
      <w:r w:rsidRPr="001329C7">
        <w:rPr>
          <w:rFonts w:ascii="Alef" w:hAnsi="Alef" w:cs="David"/>
          <w:sz w:val="24"/>
          <w:szCs w:val="24"/>
          <w:rtl/>
        </w:rPr>
        <w:t xml:space="preserve">האשראי הקובע של תאגיד שנשלט בהתאם להגדרת שליטה בחוק ייוחס </w:t>
      </w:r>
      <w:r w:rsidRPr="001329C7">
        <w:rPr>
          <w:rFonts w:ascii="Alef" w:hAnsi="Alef" w:cs="David"/>
          <w:sz w:val="24"/>
          <w:szCs w:val="24"/>
          <w:u w:val="single"/>
          <w:rtl/>
        </w:rPr>
        <w:t>במלואו</w:t>
      </w:r>
      <w:r w:rsidRPr="001329C7">
        <w:rPr>
          <w:rFonts w:ascii="Alef" w:hAnsi="Alef" w:cs="David"/>
          <w:sz w:val="24"/>
          <w:szCs w:val="24"/>
          <w:rtl/>
        </w:rPr>
        <w:t xml:space="preserve"> לשולט (או לשולטים בו).</w:t>
      </w:r>
      <w:r w:rsidRPr="001329C7">
        <w:rPr>
          <w:rStyle w:val="FootnoteReference"/>
          <w:rFonts w:ascii="Alef" w:hAnsi="Alef" w:cs="David"/>
          <w:sz w:val="24"/>
          <w:szCs w:val="24"/>
          <w:rtl/>
        </w:rPr>
        <w:footnoteReference w:id="23"/>
      </w:r>
      <w:r w:rsidRPr="001329C7">
        <w:rPr>
          <w:rFonts w:ascii="Alef" w:hAnsi="Alef" w:cs="David"/>
          <w:sz w:val="24"/>
          <w:szCs w:val="24"/>
          <w:rtl/>
        </w:rPr>
        <w:t xml:space="preserve"> </w:t>
      </w:r>
    </w:p>
    <w:p w:rsidR="007B4C3E" w:rsidRPr="001329C7" w:rsidRDefault="007B4C3E" w:rsidP="007B4C3E">
      <w:pPr>
        <w:spacing w:after="0" w:line="360" w:lineRule="auto"/>
        <w:jc w:val="both"/>
        <w:rPr>
          <w:rFonts w:ascii="Alef" w:hAnsi="Alef" w:cs="David"/>
          <w:sz w:val="24"/>
          <w:szCs w:val="24"/>
          <w:rtl/>
        </w:rPr>
      </w:pPr>
      <w:r w:rsidRPr="001329C7">
        <w:rPr>
          <w:rFonts w:ascii="Alef" w:hAnsi="Alef" w:cs="David"/>
          <w:sz w:val="24"/>
          <w:szCs w:val="24"/>
          <w:rtl/>
        </w:rPr>
        <w:t xml:space="preserve">לדוגמא, האשראי הקובע של תאגיד ב שנשלט על ידי תאגיד א (באמצעות החזקה בשיעור של 35% ממניותיו) ייכלל כולו (100%) בחישוב האשראי הקובע של תאגיד א. </w:t>
      </w:r>
    </w:p>
    <w:p w:rsidR="007B4C3E" w:rsidRPr="001329C7" w:rsidRDefault="007B4C3E" w:rsidP="007B4C3E">
      <w:pPr>
        <w:pStyle w:val="ListParagraph"/>
        <w:numPr>
          <w:ilvl w:val="0"/>
          <w:numId w:val="15"/>
        </w:numPr>
        <w:contextualSpacing/>
        <w:rPr>
          <w:rFonts w:ascii="Alef" w:hAnsi="Alef"/>
          <w:b/>
          <w:bCs/>
          <w:sz w:val="24"/>
          <w:szCs w:val="24"/>
        </w:rPr>
      </w:pPr>
      <w:r w:rsidRPr="001329C7">
        <w:rPr>
          <w:rFonts w:ascii="Alef" w:hAnsi="Alef"/>
          <w:b/>
          <w:bCs/>
          <w:sz w:val="24"/>
          <w:szCs w:val="24"/>
          <w:rtl/>
        </w:rPr>
        <w:t>האשראי הקובע בתאגיד שנשלט במשותף</w:t>
      </w:r>
    </w:p>
    <w:p w:rsidR="007B4C3E" w:rsidRDefault="007B4C3E" w:rsidP="007B4C3E">
      <w:pPr>
        <w:spacing w:after="0" w:line="360" w:lineRule="auto"/>
        <w:jc w:val="both"/>
        <w:rPr>
          <w:rFonts w:ascii="Alef" w:hAnsi="Alef" w:cs="David"/>
          <w:sz w:val="24"/>
          <w:szCs w:val="24"/>
          <w:rtl/>
        </w:rPr>
      </w:pPr>
      <w:r w:rsidRPr="001329C7">
        <w:rPr>
          <w:rFonts w:ascii="Alef" w:hAnsi="Alef" w:cs="David"/>
          <w:sz w:val="24"/>
          <w:szCs w:val="24"/>
          <w:rtl/>
        </w:rPr>
        <w:lastRenderedPageBreak/>
        <w:t xml:space="preserve">האשראי הקובע של תאגיד שנשלט במשותף על ידי מספר גורמים ייוחס </w:t>
      </w:r>
      <w:r w:rsidRPr="001329C7">
        <w:rPr>
          <w:rFonts w:ascii="Alef" w:hAnsi="Alef" w:cs="David"/>
          <w:sz w:val="24"/>
          <w:szCs w:val="24"/>
          <w:u w:val="single"/>
          <w:rtl/>
        </w:rPr>
        <w:t>במלואו</w:t>
      </w:r>
      <w:r w:rsidRPr="001329C7">
        <w:rPr>
          <w:rFonts w:ascii="Alef" w:hAnsi="Alef" w:cs="David"/>
          <w:sz w:val="24"/>
          <w:szCs w:val="24"/>
          <w:rtl/>
        </w:rPr>
        <w:t xml:space="preserve"> לכל אחד מהשולטים בתאגיד בנפרד.</w:t>
      </w:r>
      <w:r w:rsidRPr="001329C7">
        <w:rPr>
          <w:rStyle w:val="FootnoteReference"/>
          <w:rFonts w:ascii="Alef" w:hAnsi="Alef" w:cs="David"/>
          <w:sz w:val="24"/>
          <w:szCs w:val="24"/>
          <w:rtl/>
        </w:rPr>
        <w:footnoteReference w:id="24"/>
      </w:r>
      <w:r w:rsidRPr="001329C7">
        <w:rPr>
          <w:rFonts w:ascii="Alef" w:hAnsi="Alef" w:cs="David"/>
          <w:sz w:val="24"/>
          <w:szCs w:val="24"/>
          <w:rtl/>
        </w:rPr>
        <w:t xml:space="preserve"> לדוגמא, האשראי של תאגיד שנשלט על ידי גורם א (50%) וגורם ב (50%) במשותף, ייכלל כולו (100%) הן בחישוב האשראי הקובע של גורם א והן בחישוב האשראי הקובע של גורם ב. </w:t>
      </w:r>
    </w:p>
    <w:p w:rsidR="00832511" w:rsidRPr="00832511" w:rsidRDefault="00832511" w:rsidP="00832511">
      <w:pPr>
        <w:pStyle w:val="ListParagraph"/>
        <w:numPr>
          <w:ilvl w:val="0"/>
          <w:numId w:val="15"/>
        </w:numPr>
        <w:spacing w:before="120"/>
        <w:rPr>
          <w:rFonts w:ascii="Alef" w:hAnsi="Alef"/>
          <w:b/>
          <w:bCs/>
          <w:sz w:val="24"/>
          <w:szCs w:val="24"/>
        </w:rPr>
      </w:pPr>
      <w:r>
        <w:rPr>
          <w:rFonts w:ascii="Alef" w:hAnsi="Alef" w:hint="cs"/>
          <w:b/>
          <w:bCs/>
          <w:sz w:val="24"/>
          <w:szCs w:val="24"/>
          <w:rtl/>
        </w:rPr>
        <w:t>האשראי</w:t>
      </w:r>
      <w:r w:rsidRPr="00832511">
        <w:rPr>
          <w:rFonts w:ascii="Alef" w:hAnsi="Alef" w:hint="cs"/>
          <w:b/>
          <w:bCs/>
          <w:sz w:val="24"/>
          <w:szCs w:val="24"/>
          <w:rtl/>
        </w:rPr>
        <w:t xml:space="preserve"> הקובע לא יכלול </w:t>
      </w:r>
      <w:r>
        <w:rPr>
          <w:rFonts w:ascii="Alef" w:hAnsi="Alef" w:hint="cs"/>
          <w:b/>
          <w:bCs/>
          <w:sz w:val="24"/>
          <w:szCs w:val="24"/>
          <w:rtl/>
        </w:rPr>
        <w:t>אשראי</w:t>
      </w:r>
      <w:r w:rsidRPr="00832511">
        <w:rPr>
          <w:rFonts w:ascii="Alef" w:hAnsi="Alef" w:hint="cs"/>
          <w:b/>
          <w:bCs/>
          <w:sz w:val="24"/>
          <w:szCs w:val="24"/>
          <w:rtl/>
        </w:rPr>
        <w:t xml:space="preserve"> של גופים פיננסיים</w:t>
      </w:r>
    </w:p>
    <w:p w:rsidR="00832511" w:rsidRPr="00832511" w:rsidRDefault="00832511" w:rsidP="00832511">
      <w:pPr>
        <w:spacing w:before="120" w:after="0" w:line="360" w:lineRule="auto"/>
        <w:jc w:val="both"/>
        <w:rPr>
          <w:rFonts w:ascii="Alef" w:hAnsi="Alef" w:cs="David"/>
          <w:b/>
          <w:bCs/>
          <w:sz w:val="24"/>
          <w:szCs w:val="24"/>
          <w:rtl/>
        </w:rPr>
      </w:pPr>
      <w:r>
        <w:rPr>
          <w:rFonts w:ascii="Alef" w:hAnsi="Alef" w:cs="David" w:hint="cs"/>
          <w:sz w:val="24"/>
          <w:szCs w:val="24"/>
          <w:rtl/>
        </w:rPr>
        <w:t>האשראי</w:t>
      </w:r>
      <w:r w:rsidRPr="001329C7">
        <w:rPr>
          <w:rFonts w:ascii="Alef" w:hAnsi="Alef" w:cs="David" w:hint="cs"/>
          <w:sz w:val="24"/>
          <w:szCs w:val="24"/>
          <w:rtl/>
        </w:rPr>
        <w:t xml:space="preserve"> הקובע של תאגיד ריאלי לא יכלול </w:t>
      </w:r>
      <w:r>
        <w:rPr>
          <w:rFonts w:ascii="Alef" w:hAnsi="Alef" w:cs="David" w:hint="cs"/>
          <w:sz w:val="24"/>
          <w:szCs w:val="24"/>
          <w:rtl/>
        </w:rPr>
        <w:t>אשראי</w:t>
      </w:r>
      <w:r w:rsidRPr="001329C7">
        <w:rPr>
          <w:rFonts w:ascii="Alef" w:hAnsi="Alef" w:cs="David" w:hint="cs"/>
          <w:sz w:val="24"/>
          <w:szCs w:val="24"/>
          <w:rtl/>
        </w:rPr>
        <w:t xml:space="preserve"> של גופים פיננסיים</w:t>
      </w:r>
      <w:r>
        <w:rPr>
          <w:rFonts w:ascii="Alef" w:hAnsi="Alef" w:cs="David" w:hint="cs"/>
          <w:sz w:val="24"/>
          <w:szCs w:val="24"/>
          <w:rtl/>
        </w:rPr>
        <w:t>,</w:t>
      </w:r>
      <w:r w:rsidRPr="001329C7">
        <w:rPr>
          <w:rFonts w:ascii="Alef" w:hAnsi="Alef" w:cs="David" w:hint="cs"/>
          <w:sz w:val="24"/>
          <w:szCs w:val="24"/>
          <w:rtl/>
        </w:rPr>
        <w:t xml:space="preserve"> אף אם אלו שולטים בתאגיד הריאלי או נשלטים על ידו או על ידי השולטים בו. זאת, היות </w:t>
      </w:r>
      <w:r>
        <w:rPr>
          <w:rFonts w:ascii="Alef" w:hAnsi="Alef" w:cs="David" w:hint="cs"/>
          <w:sz w:val="24"/>
          <w:szCs w:val="24"/>
          <w:rtl/>
        </w:rPr>
        <w:t>שהאשראי</w:t>
      </w:r>
      <w:r w:rsidRPr="001329C7">
        <w:rPr>
          <w:rFonts w:ascii="Alef" w:hAnsi="Alef" w:cs="David" w:hint="cs"/>
          <w:sz w:val="24"/>
          <w:szCs w:val="24"/>
          <w:rtl/>
        </w:rPr>
        <w:t xml:space="preserve"> הקובע נועד למדוד את היקף הפעילות הריאלית של התאגיד. מדידת פעילותם של גופים פיננסיים נעשית בסעיפים אחרים ב</w:t>
      </w:r>
      <w:r>
        <w:rPr>
          <w:rFonts w:ascii="Alef" w:hAnsi="Alef" w:cs="David" w:hint="cs"/>
          <w:sz w:val="24"/>
          <w:szCs w:val="24"/>
          <w:rtl/>
        </w:rPr>
        <w:t>חוק, לפי הפרמטרים הקבועים בהם.</w:t>
      </w:r>
    </w:p>
    <w:p w:rsidR="007B4C3E" w:rsidRPr="001329C7" w:rsidRDefault="007B4C3E" w:rsidP="007B4C3E">
      <w:pPr>
        <w:pStyle w:val="ListParagraph"/>
        <w:numPr>
          <w:ilvl w:val="0"/>
          <w:numId w:val="15"/>
        </w:numPr>
        <w:contextualSpacing/>
        <w:rPr>
          <w:rFonts w:ascii="Alef" w:hAnsi="Alef"/>
          <w:rtl/>
        </w:rPr>
      </w:pPr>
      <w:r w:rsidRPr="001329C7">
        <w:rPr>
          <w:rFonts w:ascii="Alef" w:hAnsi="Alef"/>
          <w:b/>
          <w:bCs/>
          <w:sz w:val="24"/>
          <w:szCs w:val="24"/>
          <w:rtl/>
        </w:rPr>
        <w:t>התייחסות לאשראי שאינו מייצג</w:t>
      </w:r>
    </w:p>
    <w:p w:rsidR="007B4C3E" w:rsidRPr="001329C7" w:rsidRDefault="007B4C3E" w:rsidP="007B4C3E">
      <w:pPr>
        <w:spacing w:after="0" w:line="360" w:lineRule="auto"/>
        <w:jc w:val="both"/>
        <w:rPr>
          <w:rStyle w:val="default"/>
          <w:rFonts w:ascii="Alef" w:hAnsi="Alef" w:cs="David"/>
          <w:sz w:val="24"/>
          <w:szCs w:val="24"/>
          <w:rtl/>
        </w:rPr>
      </w:pPr>
      <w:r w:rsidRPr="001329C7">
        <w:rPr>
          <w:rStyle w:val="default"/>
          <w:rFonts w:ascii="Alef" w:hAnsi="Alef" w:cs="David"/>
          <w:sz w:val="24"/>
          <w:szCs w:val="24"/>
          <w:rtl/>
        </w:rPr>
        <w:lastRenderedPageBreak/>
        <w:t xml:space="preserve">האשראי הקובע יכלול גם אשראי שהוא תוצאה מהלוואה חריגה וקצרת מועד. ואולם אם התאגיד סבור כי יתרת האשראי בתום שנה מסוימת אינה מייצגת כראוי את פעילותו, הוא רשאי לפנות לוועדה ולבקש שהאשראי הקובע שלו לא ייקבע בהתאם לתחשיב האשראי הקובע בשנה החולפת. לבקשה זו יצרף נתונים על האשראי הקובע שלו בשנתיים שקדמו לשנה החולפת. </w:t>
      </w:r>
    </w:p>
    <w:p w:rsidR="007B4C3E" w:rsidRPr="001329C7" w:rsidRDefault="007B4C3E" w:rsidP="007B4C3E">
      <w:pPr>
        <w:spacing w:after="0" w:line="360" w:lineRule="auto"/>
        <w:jc w:val="both"/>
        <w:rPr>
          <w:rStyle w:val="default"/>
          <w:rFonts w:ascii="Alef" w:hAnsi="Alef" w:cs="David"/>
          <w:sz w:val="24"/>
          <w:szCs w:val="24"/>
          <w:rtl/>
        </w:rPr>
      </w:pPr>
      <w:r w:rsidRPr="001329C7">
        <w:rPr>
          <w:rStyle w:val="default"/>
          <w:rFonts w:ascii="Alef" w:hAnsi="Alef" w:cs="David"/>
          <w:sz w:val="24"/>
          <w:szCs w:val="24"/>
          <w:rtl/>
        </w:rPr>
        <w:t>הוועדה תבחן את הבקשה ותחליט אם להיעתר לבקשה ואת דרך החישוב המתאימה מבין שתי הדרכים הבאות שהחוק מאפשר</w:t>
      </w:r>
      <w:r w:rsidRPr="001329C7">
        <w:rPr>
          <w:rStyle w:val="default"/>
          <w:rFonts w:ascii="Alef" w:hAnsi="Alef" w:cs="David" w:hint="cs"/>
          <w:sz w:val="24"/>
          <w:szCs w:val="24"/>
          <w:rtl/>
        </w:rPr>
        <w:t>, אם תיעתר לבקשה</w:t>
      </w:r>
      <w:r w:rsidRPr="001329C7">
        <w:rPr>
          <w:rStyle w:val="default"/>
          <w:rFonts w:ascii="Alef" w:hAnsi="Alef" w:cs="David"/>
          <w:sz w:val="24"/>
          <w:szCs w:val="24"/>
          <w:rtl/>
        </w:rPr>
        <w:t>:</w:t>
      </w:r>
      <w:r w:rsidRPr="001329C7">
        <w:rPr>
          <w:rStyle w:val="FootnoteReference"/>
          <w:rFonts w:ascii="Alef" w:hAnsi="Alef" w:cs="David"/>
          <w:sz w:val="24"/>
          <w:szCs w:val="24"/>
          <w:rtl/>
        </w:rPr>
        <w:footnoteReference w:id="25"/>
      </w:r>
      <w:r w:rsidRPr="001329C7">
        <w:rPr>
          <w:rStyle w:val="default"/>
          <w:rFonts w:ascii="Alef" w:hAnsi="Alef" w:cs="David"/>
          <w:sz w:val="24"/>
          <w:szCs w:val="24"/>
          <w:rtl/>
        </w:rPr>
        <w:t xml:space="preserve"> </w:t>
      </w:r>
    </w:p>
    <w:p w:rsidR="007B4C3E" w:rsidRPr="001329C7" w:rsidRDefault="007B4C3E" w:rsidP="007B4C3E">
      <w:pPr>
        <w:pStyle w:val="ListParagraph"/>
        <w:numPr>
          <w:ilvl w:val="0"/>
          <w:numId w:val="16"/>
        </w:numPr>
        <w:contextualSpacing/>
        <w:rPr>
          <w:rStyle w:val="default"/>
          <w:rFonts w:ascii="Alef" w:hAnsi="Alef" w:cs="David"/>
          <w:sz w:val="24"/>
          <w:szCs w:val="24"/>
        </w:rPr>
      </w:pPr>
      <w:r w:rsidRPr="001329C7">
        <w:rPr>
          <w:rStyle w:val="default"/>
          <w:rFonts w:ascii="Alef" w:hAnsi="Alef" w:cs="David"/>
          <w:sz w:val="24"/>
          <w:szCs w:val="24"/>
          <w:rtl/>
        </w:rPr>
        <w:t xml:space="preserve">יתרת האשראי הקובע בתום אחת משתי שנות הכספים שקדמו לשנת הכספים הקודמת; </w:t>
      </w:r>
    </w:p>
    <w:p w:rsidR="007B4C3E" w:rsidRPr="001329C7" w:rsidRDefault="007B4C3E" w:rsidP="007B4C3E">
      <w:pPr>
        <w:pStyle w:val="ListParagraph"/>
        <w:numPr>
          <w:ilvl w:val="0"/>
          <w:numId w:val="16"/>
        </w:numPr>
        <w:contextualSpacing/>
        <w:rPr>
          <w:rFonts w:ascii="Alef" w:hAnsi="Alef"/>
          <w:sz w:val="24"/>
          <w:szCs w:val="24"/>
          <w:rtl/>
        </w:rPr>
      </w:pPr>
      <w:r w:rsidRPr="001329C7">
        <w:rPr>
          <w:rStyle w:val="default"/>
          <w:rFonts w:ascii="Alef" w:hAnsi="Alef" w:cs="David"/>
          <w:sz w:val="24"/>
          <w:szCs w:val="24"/>
          <w:rtl/>
        </w:rPr>
        <w:t>ממוצע יתרות האשראי הקובע של שלוש השנים האחרונות.</w:t>
      </w:r>
    </w:p>
    <w:p w:rsidR="007B4C3E" w:rsidRPr="001329C7" w:rsidRDefault="007B4C3E" w:rsidP="007B4C3E">
      <w:pPr>
        <w:spacing w:after="0" w:line="360" w:lineRule="auto"/>
        <w:jc w:val="both"/>
        <w:rPr>
          <w:rFonts w:ascii="Alef" w:hAnsi="Alef" w:cs="David"/>
          <w:sz w:val="24"/>
          <w:szCs w:val="24"/>
        </w:rPr>
      </w:pPr>
    </w:p>
    <w:p w:rsidR="00E050CE" w:rsidRPr="001329C7" w:rsidRDefault="00E050CE" w:rsidP="009376D4">
      <w:pPr>
        <w:jc w:val="both"/>
        <w:rPr>
          <w:rFonts w:cs="David"/>
          <w:sz w:val="24"/>
          <w:szCs w:val="24"/>
        </w:rPr>
      </w:pPr>
    </w:p>
    <w:sectPr w:rsidR="00E050CE" w:rsidRPr="001329C7" w:rsidSect="001329C7">
      <w:headerReference w:type="default" r:id="rId8"/>
      <w:headerReference w:type="first" r:id="rId9"/>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C00" w:rsidRDefault="00F31C00" w:rsidP="00490861">
      <w:pPr>
        <w:spacing w:after="0" w:line="240" w:lineRule="auto"/>
      </w:pPr>
      <w:r>
        <w:separator/>
      </w:r>
    </w:p>
  </w:endnote>
  <w:endnote w:type="continuationSeparator" w:id="0">
    <w:p w:rsidR="00F31C00" w:rsidRDefault="00F31C00" w:rsidP="00490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altName w:val="Times New Roman"/>
    <w:panose1 w:val="020E0503060101010101"/>
    <w:charset w:val="00"/>
    <w:family w:val="swiss"/>
    <w:pitch w:val="variable"/>
    <w:sig w:usb0="00000803" w:usb1="00000000" w:usb2="00000000" w:usb3="00000000" w:csb0="00000021" w:csb1="00000000"/>
  </w:font>
  <w:font w:name="Alef">
    <w:panose1 w:val="00000500000000000000"/>
    <w:charset w:val="00"/>
    <w:family w:val="auto"/>
    <w:pitch w:val="variable"/>
    <w:sig w:usb0="00000807" w:usb1="40000000" w:usb2="00000000" w:usb3="00000000" w:csb0="000000B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C00" w:rsidRDefault="00F31C00" w:rsidP="00490861">
      <w:pPr>
        <w:spacing w:after="0" w:line="240" w:lineRule="auto"/>
      </w:pPr>
      <w:r>
        <w:separator/>
      </w:r>
    </w:p>
  </w:footnote>
  <w:footnote w:type="continuationSeparator" w:id="0">
    <w:p w:rsidR="00F31C00" w:rsidRDefault="00F31C00" w:rsidP="00490861">
      <w:pPr>
        <w:spacing w:after="0" w:line="240" w:lineRule="auto"/>
      </w:pPr>
      <w:r>
        <w:continuationSeparator/>
      </w:r>
    </w:p>
  </w:footnote>
  <w:footnote w:id="1">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או הפרטה של חברות ממשלתיות על ידי המדינה.</w:t>
      </w:r>
    </w:p>
  </w:footnote>
  <w:footnote w:id="2">
    <w:p w:rsidR="007B4C3E" w:rsidRPr="001329C7" w:rsidRDefault="007B4C3E" w:rsidP="007B4C3E">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ראו פרק ד לחוק</w:t>
      </w:r>
      <w:r w:rsidR="00246680">
        <w:rPr>
          <w:rFonts w:asciiTheme="minorBidi" w:hAnsiTheme="minorBidi" w:cs="David" w:hint="cs"/>
          <w:rtl/>
        </w:rPr>
        <w:t>.</w:t>
      </w:r>
    </w:p>
  </w:footnote>
  <w:footnote w:id="3">
    <w:p w:rsidR="007B4C3E" w:rsidRPr="001329C7" w:rsidRDefault="007B4C3E" w:rsidP="007B4C3E">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החוק הגדיר כ"שוק מונופולין" – שוק שבו התאגיד הריאלי, לרבות תאגידים ריאליים שמצויים עמו בקשרי שליטה, הוכרז כבעל מונופולין לפי סעיף 26 לחוק התחרות הכלכלית, התשמ"ח-1988, ושמחזור המכירות הקובע שלו באותו שוק עולה על הסכום הקבוע בחוק (כ-300 מיליון ₪).</w:t>
      </w:r>
    </w:p>
  </w:footnote>
  <w:footnote w:id="4">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הסכומים המגדירים את רף מחזור המכירות הקובע והאשראי הקובע לצורך קביעת תאגיד כתאגיד ריאלי משמעותי נגזרו מהיקפי הפדיון במשק הישראלי. סכומים אלו הוצמדו למדד המחירים לצרכן בהתאם להוראת סעיף 31 לחוק. לצורך הנוחות נתייחס במסמך לסכום המקורי שנקבע בפרסום החוק.</w:t>
      </w:r>
    </w:p>
  </w:footnote>
  <w:footnote w:id="5">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מובהר כי מסמך זה נוגע לחוק הריכוזיות בלבד (ולא לחוק התחרות הכלכלית, התשמ"ח-1988).</w:t>
      </w:r>
    </w:p>
  </w:footnote>
  <w:footnote w:id="6">
    <w:p w:rsidR="007B4C3E" w:rsidRPr="001329C7" w:rsidRDefault="007B4C3E" w:rsidP="007B4C3E">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דוגמאות של תקבולים שאינם נחשבים להכנסה: גיוס הון בהנפקה, הלוואה, קרן של פיקדון, ירושה </w:t>
      </w:r>
      <w:proofErr w:type="spellStart"/>
      <w:r w:rsidRPr="001329C7">
        <w:rPr>
          <w:rFonts w:asciiTheme="minorBidi" w:hAnsiTheme="minorBidi" w:cs="David"/>
          <w:rtl/>
        </w:rPr>
        <w:t>וכו</w:t>
      </w:r>
      <w:proofErr w:type="spellEnd"/>
      <w:r w:rsidRPr="001329C7">
        <w:rPr>
          <w:rFonts w:asciiTheme="minorBidi" w:hAnsiTheme="minorBidi" w:cs="David"/>
          <w:rtl/>
        </w:rPr>
        <w:t>'.</w:t>
      </w:r>
    </w:p>
  </w:footnote>
  <w:footnote w:id="7">
    <w:p w:rsidR="007B4C3E" w:rsidRPr="001329C7" w:rsidRDefault="007B4C3E" w:rsidP="007B4C3E">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כפי שציינו, הגדרת 'מחזור המכירות הקובע' בחוק מתייחסת למונח 'תקבולים' שכולל גם תקבולים שאינם נחשבים להכנסות לפי כללי חשבונאות מקובלים. </w:t>
      </w:r>
    </w:p>
  </w:footnote>
  <w:footnote w:id="8">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בהמשך המסמך (</w:t>
      </w:r>
      <w:r w:rsidRPr="001329C7">
        <w:rPr>
          <w:rFonts w:asciiTheme="minorBidi" w:hAnsiTheme="minorBidi" w:cs="David" w:hint="cs"/>
          <w:rtl/>
        </w:rPr>
        <w:t>בסעיף '</w:t>
      </w:r>
      <w:r w:rsidRPr="001329C7">
        <w:rPr>
          <w:rFonts w:asciiTheme="minorBidi" w:hAnsiTheme="minorBidi" w:cs="David"/>
          <w:rtl/>
        </w:rPr>
        <w:t>התייחסות להכנסות חד-פעמיות חריגות</w:t>
      </w:r>
      <w:r w:rsidRPr="001329C7">
        <w:rPr>
          <w:rFonts w:asciiTheme="minorBidi" w:hAnsiTheme="minorBidi" w:cs="David" w:hint="cs"/>
          <w:rtl/>
        </w:rPr>
        <w:t>'</w:t>
      </w:r>
      <w:r w:rsidRPr="001329C7">
        <w:rPr>
          <w:rFonts w:asciiTheme="minorBidi" w:hAnsiTheme="minorBidi" w:cs="David"/>
          <w:rtl/>
        </w:rPr>
        <w:t xml:space="preserve">) נתייחס למצבים בהם מימוש נכסים בשנה מסוימת אינו מעיד על היקף </w:t>
      </w:r>
      <w:r w:rsidRPr="001329C7">
        <w:rPr>
          <w:rFonts w:asciiTheme="minorBidi" w:hAnsiTheme="minorBidi" w:cs="David" w:hint="cs"/>
          <w:rtl/>
        </w:rPr>
        <w:t>ה</w:t>
      </w:r>
      <w:r w:rsidRPr="001329C7">
        <w:rPr>
          <w:rFonts w:asciiTheme="minorBidi" w:hAnsiTheme="minorBidi" w:cs="David"/>
          <w:rtl/>
        </w:rPr>
        <w:t xml:space="preserve">פעילות </w:t>
      </w:r>
      <w:r w:rsidRPr="001329C7">
        <w:rPr>
          <w:rFonts w:asciiTheme="minorBidi" w:hAnsiTheme="minorBidi" w:cs="David" w:hint="cs"/>
          <w:rtl/>
        </w:rPr>
        <w:t>הריאלית של</w:t>
      </w:r>
      <w:r w:rsidRPr="001329C7">
        <w:rPr>
          <w:rFonts w:asciiTheme="minorBidi" w:hAnsiTheme="minorBidi" w:cs="David"/>
          <w:rtl/>
        </w:rPr>
        <w:t xml:space="preserve"> התאגיד.</w:t>
      </w:r>
    </w:p>
  </w:footnote>
  <w:footnote w:id="9">
    <w:p w:rsidR="007B4C3E" w:rsidRPr="001329C7" w:rsidRDefault="007B4C3E" w:rsidP="007B4C3E">
      <w:pPr>
        <w:pStyle w:val="FootnoteText"/>
        <w:rPr>
          <w:rFonts w:cs="David"/>
          <w:rtl/>
        </w:rPr>
      </w:pPr>
      <w:r w:rsidRPr="001329C7">
        <w:rPr>
          <w:rStyle w:val="FootnoteReference"/>
          <w:rFonts w:cs="David"/>
        </w:rPr>
        <w:footnoteRef/>
      </w:r>
      <w:r w:rsidRPr="001329C7">
        <w:rPr>
          <w:rFonts w:cs="David"/>
          <w:rtl/>
        </w:rPr>
        <w:t xml:space="preserve"> </w:t>
      </w:r>
      <w:r w:rsidRPr="001329C7">
        <w:rPr>
          <w:rFonts w:asciiTheme="minorBidi" w:hAnsiTheme="minorBidi" w:cs="David"/>
          <w:rtl/>
        </w:rPr>
        <w:t xml:space="preserve">לפי סעיף 29 ו-31 לתקן חשבונאות בינלאומי </w:t>
      </w:r>
      <w:r w:rsidRPr="00753F92">
        <w:rPr>
          <w:rFonts w:asciiTheme="majorBidi" w:hAnsiTheme="majorBidi" w:cstheme="majorBidi"/>
        </w:rPr>
        <w:t>IAS20</w:t>
      </w:r>
      <w:r w:rsidRPr="001329C7">
        <w:rPr>
          <w:rFonts w:asciiTheme="minorBidi" w:hAnsiTheme="minorBidi" w:cs="David"/>
          <w:rtl/>
        </w:rPr>
        <w:t xml:space="preserve"> – מענקים המתייחסים להכנסה (</w:t>
      </w:r>
      <w:r w:rsidRPr="00753F92">
        <w:rPr>
          <w:rFonts w:asciiTheme="majorBidi" w:hAnsiTheme="majorBidi" w:cstheme="majorBidi"/>
        </w:rPr>
        <w:t>Grants related to income</w:t>
      </w:r>
      <w:r w:rsidRPr="001329C7">
        <w:rPr>
          <w:rFonts w:asciiTheme="minorBidi" w:hAnsiTheme="minorBidi" w:cs="David"/>
          <w:rtl/>
        </w:rPr>
        <w:t>).</w:t>
      </w:r>
    </w:p>
  </w:footnote>
  <w:footnote w:id="10">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לפי סעיף 24-25 לתקן חשבונאות בינלאומי </w:t>
      </w:r>
      <w:r w:rsidRPr="00753F92">
        <w:rPr>
          <w:rFonts w:asciiTheme="majorBidi" w:hAnsiTheme="majorBidi" w:cstheme="majorBidi"/>
        </w:rPr>
        <w:t>IAS20</w:t>
      </w:r>
      <w:r w:rsidRPr="001329C7">
        <w:rPr>
          <w:rFonts w:asciiTheme="minorBidi" w:hAnsiTheme="minorBidi" w:cs="David"/>
          <w:rtl/>
        </w:rPr>
        <w:t xml:space="preserve"> – מענקים המתייחסים לנכסים (</w:t>
      </w:r>
      <w:r w:rsidRPr="00753F92">
        <w:rPr>
          <w:rFonts w:asciiTheme="majorBidi" w:hAnsiTheme="majorBidi" w:cstheme="majorBidi"/>
        </w:rPr>
        <w:t>Grants related</w:t>
      </w:r>
      <w:r w:rsidRPr="001329C7">
        <w:rPr>
          <w:rFonts w:asciiTheme="minorBidi" w:hAnsiTheme="minorBidi" w:cs="David"/>
        </w:rPr>
        <w:t xml:space="preserve"> </w:t>
      </w:r>
      <w:r w:rsidRPr="00753F92">
        <w:rPr>
          <w:rFonts w:asciiTheme="majorBidi" w:hAnsiTheme="majorBidi" w:cstheme="majorBidi"/>
        </w:rPr>
        <w:t>to assets</w:t>
      </w:r>
      <w:r w:rsidRPr="001329C7">
        <w:rPr>
          <w:rFonts w:asciiTheme="minorBidi" w:hAnsiTheme="minorBidi" w:cs="David"/>
          <w:rtl/>
        </w:rPr>
        <w:t>).</w:t>
      </w:r>
    </w:p>
  </w:footnote>
  <w:footnote w:id="11">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סעיף 30(ה) לחוק מסמיך את הממונה על התחרות לקבוע את דרך חישוב מחזור המכירות בתאגידים שלא ערכו דוחות כספיים בשנה מסוימת.</w:t>
      </w:r>
    </w:p>
  </w:footnote>
  <w:footnote w:id="12">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ראו סעיף 30(ה) לחוק.</w:t>
      </w:r>
    </w:p>
  </w:footnote>
  <w:footnote w:id="13">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w:t>
      </w:r>
      <w:r w:rsidRPr="001329C7">
        <w:rPr>
          <w:rFonts w:asciiTheme="minorBidi" w:hAnsiTheme="minorBidi" w:cs="David" w:hint="eastAsia"/>
          <w:rtl/>
        </w:rPr>
        <w:t>קונסיגנציה</w:t>
      </w:r>
      <w:r w:rsidRPr="001329C7">
        <w:rPr>
          <w:rFonts w:asciiTheme="minorBidi" w:hAnsiTheme="minorBidi" w:cs="David"/>
          <w:rtl/>
        </w:rPr>
        <w:t xml:space="preserve"> (</w:t>
      </w:r>
      <w:r w:rsidRPr="00753F92">
        <w:rPr>
          <w:rFonts w:asciiTheme="majorBidi" w:hAnsiTheme="majorBidi" w:cstheme="majorBidi"/>
        </w:rPr>
        <w:t>Consignment</w:t>
      </w:r>
      <w:r w:rsidRPr="001329C7">
        <w:rPr>
          <w:rFonts w:asciiTheme="minorBidi" w:hAnsiTheme="minorBidi" w:cs="David"/>
          <w:rtl/>
        </w:rPr>
        <w:t xml:space="preserve">) </w:t>
      </w:r>
      <w:r w:rsidRPr="001329C7">
        <w:rPr>
          <w:rFonts w:asciiTheme="minorBidi" w:hAnsiTheme="minorBidi" w:cs="David" w:hint="eastAsia"/>
          <w:rtl/>
        </w:rPr>
        <w:t>או</w:t>
      </w:r>
      <w:r w:rsidRPr="001329C7">
        <w:rPr>
          <w:rFonts w:asciiTheme="minorBidi" w:hAnsiTheme="minorBidi" w:cs="David"/>
          <w:rtl/>
        </w:rPr>
        <w:t xml:space="preserve"> </w:t>
      </w:r>
      <w:r w:rsidRPr="001329C7">
        <w:rPr>
          <w:rFonts w:asciiTheme="minorBidi" w:hAnsiTheme="minorBidi" w:cs="David" w:hint="eastAsia"/>
          <w:rtl/>
        </w:rPr>
        <w:t>מכר</w:t>
      </w:r>
      <w:r w:rsidRPr="001329C7">
        <w:rPr>
          <w:rFonts w:asciiTheme="minorBidi" w:hAnsiTheme="minorBidi" w:cs="David"/>
          <w:rtl/>
        </w:rPr>
        <w:t xml:space="preserve"> </w:t>
      </w:r>
      <w:r w:rsidRPr="001329C7">
        <w:rPr>
          <w:rFonts w:asciiTheme="minorBidi" w:hAnsiTheme="minorBidi" w:cs="David" w:hint="eastAsia"/>
          <w:rtl/>
        </w:rPr>
        <w:t>מותנה</w:t>
      </w:r>
      <w:r w:rsidRPr="001329C7">
        <w:rPr>
          <w:rFonts w:asciiTheme="minorBidi" w:hAnsiTheme="minorBidi" w:cs="David"/>
          <w:rtl/>
        </w:rPr>
        <w:t>.</w:t>
      </w:r>
    </w:p>
  </w:footnote>
  <w:footnote w:id="14">
    <w:p w:rsidR="007B4C3E" w:rsidRPr="001329C7" w:rsidRDefault="007B4C3E" w:rsidP="007B4C3E">
      <w:pPr>
        <w:pStyle w:val="FootnoteText"/>
        <w:rPr>
          <w:rFonts w:cs="David"/>
          <w:rtl/>
        </w:rPr>
      </w:pPr>
      <w:r w:rsidRPr="001329C7">
        <w:rPr>
          <w:rStyle w:val="FootnoteReference"/>
          <w:rFonts w:cs="David"/>
        </w:rPr>
        <w:footnoteRef/>
      </w:r>
      <w:r w:rsidRPr="001329C7">
        <w:rPr>
          <w:rFonts w:cs="David"/>
          <w:rtl/>
        </w:rPr>
        <w:t xml:space="preserve"> </w:t>
      </w:r>
      <w:r w:rsidRPr="001329C7">
        <w:rPr>
          <w:rFonts w:asciiTheme="minorBidi" w:hAnsiTheme="minorBidi" w:cs="David" w:hint="cs"/>
          <w:rtl/>
        </w:rPr>
        <w:t>הבהרה מספר 8 של המוסד הישראלי לתקינה בחשבונאות.</w:t>
      </w:r>
    </w:p>
  </w:footnote>
  <w:footnote w:id="15">
    <w:p w:rsidR="007B4C3E" w:rsidRPr="001329C7" w:rsidRDefault="007B4C3E" w:rsidP="007B4C3E">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על אף שניתן היה לחשוב שבגלל שהסיכון על הסחורה נותר אצל הסיטונאי, מחזור המכירות הקובע יכלול רק את רווחי המשווק.</w:t>
      </w:r>
    </w:p>
  </w:footnote>
  <w:footnote w:id="16">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הגדרת אמצעי שליטה בחוק הבנקאות כוללת את החלופות הבאות: </w:t>
      </w:r>
    </w:p>
    <w:p w:rsidR="007B4C3E" w:rsidRPr="001329C7" w:rsidRDefault="007B4C3E" w:rsidP="007B4C3E">
      <w:pPr>
        <w:pStyle w:val="FootnoteText"/>
        <w:rPr>
          <w:rFonts w:asciiTheme="minorBidi" w:hAnsiTheme="minorBidi" w:cs="David"/>
        </w:rPr>
      </w:pPr>
      <w:r w:rsidRPr="001329C7">
        <w:rPr>
          <w:rFonts w:asciiTheme="minorBidi" w:hAnsiTheme="minorBidi" w:cs="David"/>
          <w:rtl/>
        </w:rPr>
        <w:t>"</w:t>
      </w:r>
      <w:r w:rsidRPr="001329C7">
        <w:rPr>
          <w:rFonts w:asciiTheme="minorBidi" w:hAnsiTheme="minorBidi" w:cs="David"/>
          <w:b/>
          <w:bCs/>
          <w:rtl/>
        </w:rPr>
        <w:t>אמצעי שליטה</w:t>
      </w:r>
      <w:r w:rsidRPr="001329C7">
        <w:rPr>
          <w:rFonts w:asciiTheme="minorBidi" w:hAnsiTheme="minorBidi" w:cs="David"/>
          <w:rtl/>
        </w:rPr>
        <w:t>", בתאגיד - כל אחת מאלה:</w:t>
      </w:r>
    </w:p>
    <w:p w:rsidR="007B4C3E" w:rsidRPr="001329C7" w:rsidRDefault="007B4C3E" w:rsidP="007B4C3E">
      <w:pPr>
        <w:pStyle w:val="FootnoteText"/>
        <w:rPr>
          <w:rFonts w:asciiTheme="minorBidi" w:hAnsiTheme="minorBidi" w:cs="David"/>
          <w:rtl/>
        </w:rPr>
      </w:pPr>
      <w:r w:rsidRPr="001329C7">
        <w:rPr>
          <w:rFonts w:asciiTheme="minorBidi" w:hAnsiTheme="minorBidi" w:cs="David"/>
          <w:rtl/>
        </w:rPr>
        <w:t>(1)</w:t>
      </w:r>
      <w:r w:rsidRPr="001329C7">
        <w:rPr>
          <w:rFonts w:asciiTheme="minorBidi" w:hAnsiTheme="minorBidi" w:cs="David" w:hint="cs"/>
          <w:rtl/>
        </w:rPr>
        <w:t xml:space="preserve"> </w:t>
      </w:r>
      <w:r w:rsidRPr="001329C7">
        <w:rPr>
          <w:rFonts w:asciiTheme="minorBidi" w:hAnsiTheme="minorBidi" w:cs="David"/>
          <w:rtl/>
        </w:rPr>
        <w:t>זכות ההצבעה באסיפה כללית של חברה או בגוף מקביל של תאגיד אחר;</w:t>
      </w:r>
    </w:p>
    <w:p w:rsidR="007B4C3E" w:rsidRPr="001329C7" w:rsidRDefault="007B4C3E" w:rsidP="007B4C3E">
      <w:pPr>
        <w:pStyle w:val="FootnoteText"/>
        <w:rPr>
          <w:rFonts w:asciiTheme="minorBidi" w:hAnsiTheme="minorBidi" w:cs="David"/>
          <w:rtl/>
        </w:rPr>
      </w:pPr>
      <w:r w:rsidRPr="001329C7">
        <w:rPr>
          <w:rFonts w:asciiTheme="minorBidi" w:hAnsiTheme="minorBidi" w:cs="David"/>
          <w:rtl/>
        </w:rPr>
        <w:t>(2)</w:t>
      </w:r>
      <w:r w:rsidRPr="001329C7">
        <w:rPr>
          <w:rFonts w:asciiTheme="minorBidi" w:hAnsiTheme="minorBidi" w:cs="David" w:hint="cs"/>
          <w:rtl/>
        </w:rPr>
        <w:t xml:space="preserve"> </w:t>
      </w:r>
      <w:r w:rsidRPr="001329C7">
        <w:rPr>
          <w:rFonts w:asciiTheme="minorBidi" w:hAnsiTheme="minorBidi" w:cs="David"/>
          <w:rtl/>
        </w:rPr>
        <w:t>הזכות למנות דירקטור בתאגיד, ולעניין זה –</w:t>
      </w:r>
    </w:p>
    <w:p w:rsidR="007B4C3E" w:rsidRPr="001329C7" w:rsidRDefault="007B4C3E" w:rsidP="007B4C3E">
      <w:pPr>
        <w:pStyle w:val="FootnoteText"/>
        <w:ind w:firstLine="720"/>
        <w:rPr>
          <w:rFonts w:asciiTheme="minorBidi" w:hAnsiTheme="minorBidi" w:cs="David"/>
          <w:rtl/>
        </w:rPr>
      </w:pPr>
      <w:r w:rsidRPr="001329C7">
        <w:rPr>
          <w:rFonts w:asciiTheme="minorBidi" w:hAnsiTheme="minorBidi" w:cs="David"/>
          <w:rtl/>
        </w:rPr>
        <w:t>(א)</w:t>
      </w:r>
      <w:r w:rsidRPr="001329C7">
        <w:rPr>
          <w:rFonts w:asciiTheme="minorBidi" w:hAnsiTheme="minorBidi" w:cs="David" w:hint="cs"/>
          <w:rtl/>
        </w:rPr>
        <w:t xml:space="preserve"> </w:t>
      </w:r>
      <w:r w:rsidRPr="001329C7">
        <w:rPr>
          <w:rFonts w:asciiTheme="minorBidi" w:hAnsiTheme="minorBidi" w:cs="David"/>
          <w:rtl/>
        </w:rPr>
        <w:t>יראו את מי שמינה דירקטור בתאגיד כבעל הזכות למנותו;</w:t>
      </w:r>
    </w:p>
    <w:p w:rsidR="007B4C3E" w:rsidRPr="001329C7" w:rsidRDefault="007B4C3E" w:rsidP="007B4C3E">
      <w:pPr>
        <w:pStyle w:val="FootnoteText"/>
        <w:ind w:left="1076" w:hanging="356"/>
        <w:rPr>
          <w:rFonts w:asciiTheme="minorBidi" w:hAnsiTheme="minorBidi" w:cs="David"/>
          <w:rtl/>
        </w:rPr>
      </w:pPr>
      <w:r w:rsidRPr="001329C7">
        <w:rPr>
          <w:rFonts w:asciiTheme="minorBidi" w:hAnsiTheme="minorBidi" w:cs="David"/>
          <w:rtl/>
        </w:rPr>
        <w:t>(ב)</w:t>
      </w:r>
      <w:r w:rsidRPr="001329C7">
        <w:rPr>
          <w:rFonts w:asciiTheme="minorBidi" w:hAnsiTheme="minorBidi" w:cs="David" w:hint="cs"/>
          <w:rtl/>
        </w:rPr>
        <w:t xml:space="preserve"> </w:t>
      </w:r>
      <w:r w:rsidRPr="001329C7">
        <w:rPr>
          <w:rFonts w:asciiTheme="minorBidi" w:hAnsiTheme="minorBidi" w:cs="David"/>
          <w:rtl/>
        </w:rPr>
        <w:t>חזקה על תאגיד שנושא משרה בו נתמנה לדירקטור בתאגיד אחר, ועל מי ששולט באותו תאגיד,</w:t>
      </w:r>
      <w:r w:rsidRPr="001329C7">
        <w:rPr>
          <w:rFonts w:asciiTheme="minorBidi" w:hAnsiTheme="minorBidi" w:cs="David" w:hint="cs"/>
          <w:rtl/>
        </w:rPr>
        <w:t xml:space="preserve"> </w:t>
      </w:r>
      <w:r w:rsidRPr="001329C7">
        <w:rPr>
          <w:rFonts w:asciiTheme="minorBidi" w:hAnsiTheme="minorBidi" w:cs="David"/>
          <w:rtl/>
        </w:rPr>
        <w:t>שהם בעלי הזכות למנותו;</w:t>
      </w:r>
    </w:p>
    <w:p w:rsidR="007B4C3E" w:rsidRPr="001329C7" w:rsidRDefault="007B4C3E" w:rsidP="007B4C3E">
      <w:pPr>
        <w:pStyle w:val="FootnoteText"/>
        <w:rPr>
          <w:rFonts w:asciiTheme="minorBidi" w:hAnsiTheme="minorBidi" w:cs="David"/>
          <w:rtl/>
        </w:rPr>
      </w:pPr>
      <w:r w:rsidRPr="001329C7">
        <w:rPr>
          <w:rFonts w:asciiTheme="minorBidi" w:hAnsiTheme="minorBidi" w:cs="David"/>
          <w:rtl/>
        </w:rPr>
        <w:t>(3)</w:t>
      </w:r>
      <w:r w:rsidRPr="001329C7">
        <w:rPr>
          <w:rFonts w:asciiTheme="minorBidi" w:hAnsiTheme="minorBidi" w:cs="David" w:hint="cs"/>
          <w:rtl/>
        </w:rPr>
        <w:t xml:space="preserve"> </w:t>
      </w:r>
      <w:r w:rsidRPr="001329C7">
        <w:rPr>
          <w:rFonts w:asciiTheme="minorBidi" w:hAnsiTheme="minorBidi" w:cs="David"/>
          <w:rtl/>
        </w:rPr>
        <w:t>הזכות להשתתף ברווחי התאגיד;</w:t>
      </w:r>
    </w:p>
    <w:p w:rsidR="007B4C3E" w:rsidRPr="001329C7" w:rsidRDefault="007B4C3E" w:rsidP="007B4C3E">
      <w:pPr>
        <w:pStyle w:val="FootnoteText"/>
        <w:rPr>
          <w:rFonts w:asciiTheme="minorBidi" w:hAnsiTheme="minorBidi" w:cs="David"/>
          <w:rtl/>
        </w:rPr>
      </w:pPr>
      <w:r w:rsidRPr="001329C7">
        <w:rPr>
          <w:rFonts w:asciiTheme="minorBidi" w:hAnsiTheme="minorBidi" w:cs="David"/>
          <w:rtl/>
        </w:rPr>
        <w:t>(4)</w:t>
      </w:r>
      <w:r w:rsidRPr="001329C7">
        <w:rPr>
          <w:rFonts w:asciiTheme="minorBidi" w:hAnsiTheme="minorBidi" w:cs="David" w:hint="cs"/>
          <w:rtl/>
        </w:rPr>
        <w:t xml:space="preserve"> </w:t>
      </w:r>
      <w:r w:rsidRPr="001329C7">
        <w:rPr>
          <w:rFonts w:asciiTheme="minorBidi" w:hAnsiTheme="minorBidi" w:cs="David"/>
          <w:rtl/>
        </w:rPr>
        <w:t xml:space="preserve">הזכות ליתרת נכסי התאגיד בעת חיסולו לאחר סילוק </w:t>
      </w:r>
      <w:proofErr w:type="spellStart"/>
      <w:r w:rsidRPr="001329C7">
        <w:rPr>
          <w:rFonts w:asciiTheme="minorBidi" w:hAnsiTheme="minorBidi" w:cs="David"/>
          <w:rtl/>
        </w:rPr>
        <w:t>חבויותיו</w:t>
      </w:r>
      <w:proofErr w:type="spellEnd"/>
      <w:r w:rsidRPr="001329C7">
        <w:rPr>
          <w:rFonts w:asciiTheme="minorBidi" w:hAnsiTheme="minorBidi" w:cs="David"/>
          <w:rtl/>
        </w:rPr>
        <w:t>.</w:t>
      </w:r>
    </w:p>
  </w:footnote>
  <w:footnote w:id="17">
    <w:p w:rsidR="007B4C3E" w:rsidRPr="001329C7" w:rsidRDefault="007B4C3E" w:rsidP="00B402BD">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השוו לסעיף 30(א)(1) לחוק, שקובע כי </w:t>
      </w:r>
      <w:r w:rsidRPr="001329C7">
        <w:rPr>
          <w:rFonts w:asciiTheme="minorBidi" w:hAnsiTheme="minorBidi" w:cs="David" w:hint="cs"/>
          <w:rtl/>
        </w:rPr>
        <w:t xml:space="preserve">יש </w:t>
      </w:r>
      <w:r w:rsidRPr="001329C7">
        <w:rPr>
          <w:rFonts w:asciiTheme="minorBidi" w:hAnsiTheme="minorBidi" w:cs="David"/>
          <w:rtl/>
        </w:rPr>
        <w:t>להחשיב את מלוא מחזור המכירות הקובע של תאגיד נשלט במצב של שליטה משותפת, כמפורט להלן.</w:t>
      </w:r>
    </w:p>
  </w:footnote>
  <w:footnote w:id="18">
    <w:p w:rsidR="007B4C3E" w:rsidRPr="001329C7" w:rsidRDefault="007B4C3E" w:rsidP="00B402BD">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w:t>
      </w:r>
      <w:r w:rsidR="00B402BD">
        <w:rPr>
          <w:rFonts w:asciiTheme="minorBidi" w:hAnsiTheme="minorBidi" w:cs="David" w:hint="cs"/>
          <w:rtl/>
        </w:rPr>
        <w:t>ו</w:t>
      </w:r>
      <w:r w:rsidRPr="001329C7">
        <w:rPr>
          <w:rFonts w:asciiTheme="minorBidi" w:hAnsiTheme="minorBidi" w:cs="David"/>
          <w:rtl/>
        </w:rPr>
        <w:t xml:space="preserve"> סעיף 30(א)(1) לחוק. </w:t>
      </w:r>
    </w:p>
  </w:footnote>
  <w:footnote w:id="19">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ראוי להבהיר כי שולט בתאגיד שסווג כתאגיד ריאלי משמעותי לא ייחשב בהכרח לגורם ריכוזי</w:t>
      </w:r>
      <w:r w:rsidRPr="001329C7">
        <w:rPr>
          <w:rFonts w:asciiTheme="minorBidi" w:hAnsiTheme="minorBidi" w:cs="David" w:hint="cs"/>
          <w:rtl/>
        </w:rPr>
        <w:t xml:space="preserve"> (או לתאגיד ריאלי משמעותי)</w:t>
      </w:r>
      <w:r w:rsidRPr="001329C7">
        <w:rPr>
          <w:rFonts w:asciiTheme="minorBidi" w:hAnsiTheme="minorBidi" w:cs="David"/>
          <w:rtl/>
        </w:rPr>
        <w:t xml:space="preserve">. כך, השולט בתאגיד שנחשב לתאגיד ריאלי משמעותי רק בשל שליטתו במשותף עם שולט אחר שהוא תאגיד ריאלי משמעותי - לא ייחשב כגורם ריכוזי </w:t>
      </w:r>
      <w:r w:rsidRPr="001329C7">
        <w:rPr>
          <w:rFonts w:asciiTheme="minorBidi" w:hAnsiTheme="minorBidi" w:cs="David" w:hint="cs"/>
          <w:rtl/>
        </w:rPr>
        <w:t>(או כתאגיד ריאלי משמעותי)</w:t>
      </w:r>
      <w:r w:rsidRPr="001329C7">
        <w:rPr>
          <w:rFonts w:asciiTheme="minorBidi" w:hAnsiTheme="minorBidi" w:cs="David"/>
          <w:rtl/>
        </w:rPr>
        <w:t xml:space="preserve"> בשל שליטתו בתאגיד זה, אם סך מחזור המכירות הקובע שלו ושל התאגידים שבשליטתו ושבשליטת השולט בו (לרבות התאגיד שנשלט במשותף אמור), אינם עולים על הרף הקבוע בחוק לעניין תאגיד ריאלי משמעותי.</w:t>
      </w:r>
    </w:p>
  </w:footnote>
  <w:footnote w:id="20">
    <w:p w:rsidR="00B402BD" w:rsidRDefault="00B402BD">
      <w:pPr>
        <w:pStyle w:val="FootnoteText"/>
      </w:pPr>
      <w:r>
        <w:rPr>
          <w:rStyle w:val="FootnoteReference"/>
        </w:rPr>
        <w:footnoteRef/>
      </w:r>
      <w:r>
        <w:rPr>
          <w:rtl/>
        </w:rPr>
        <w:t xml:space="preserve"> </w:t>
      </w:r>
      <w:r w:rsidRPr="00B402BD">
        <w:rPr>
          <w:rFonts w:asciiTheme="minorBidi" w:hAnsiTheme="minorBidi" w:cs="David" w:hint="cs"/>
          <w:rtl/>
        </w:rPr>
        <w:t>ראו הגדרת "גוף פיננסי" בסעיף 28 לחוק.</w:t>
      </w:r>
    </w:p>
  </w:footnote>
  <w:footnote w:id="21">
    <w:p w:rsidR="007B4C3E" w:rsidRPr="001329C7" w:rsidRDefault="007B4C3E" w:rsidP="007B4C3E">
      <w:pPr>
        <w:pStyle w:val="P00"/>
        <w:spacing w:before="0"/>
        <w:ind w:left="0" w:right="1134"/>
        <w:rPr>
          <w:rFonts w:asciiTheme="minorBidi" w:hAnsiTheme="minorBidi" w:cs="David"/>
          <w:noProof w:val="0"/>
          <w:szCs w:val="20"/>
          <w:rtl/>
        </w:rPr>
      </w:pPr>
      <w:r w:rsidRPr="001329C7">
        <w:rPr>
          <w:rStyle w:val="FootnoteReference"/>
          <w:rFonts w:asciiTheme="minorBidi" w:hAnsiTheme="minorBidi" w:cs="David"/>
        </w:rPr>
        <w:footnoteRef/>
      </w:r>
      <w:r w:rsidRPr="001329C7">
        <w:rPr>
          <w:rFonts w:asciiTheme="minorBidi" w:hAnsiTheme="minorBidi" w:cs="David"/>
          <w:rtl/>
        </w:rPr>
        <w:t xml:space="preserve"> </w:t>
      </w:r>
      <w:r w:rsidRPr="001329C7">
        <w:rPr>
          <w:rFonts w:asciiTheme="minorBidi" w:hAnsiTheme="minorBidi" w:cs="David"/>
          <w:noProof w:val="0"/>
          <w:szCs w:val="20"/>
          <w:rtl/>
        </w:rPr>
        <w:t>למעט אשראי שקיבל או איגרות חוב שהנפיק לצורך אחד מאלה:</w:t>
      </w:r>
    </w:p>
    <w:p w:rsidR="007B4C3E" w:rsidRPr="001329C7" w:rsidRDefault="007B4C3E" w:rsidP="007B4C3E">
      <w:pPr>
        <w:pStyle w:val="P00"/>
        <w:spacing w:before="0"/>
        <w:ind w:left="1021" w:right="1134"/>
        <w:rPr>
          <w:rFonts w:asciiTheme="minorBidi" w:hAnsiTheme="minorBidi" w:cs="David"/>
          <w:noProof w:val="0"/>
          <w:szCs w:val="20"/>
          <w:rtl/>
        </w:rPr>
      </w:pPr>
      <w:r w:rsidRPr="001329C7">
        <w:rPr>
          <w:rFonts w:asciiTheme="minorBidi" w:hAnsiTheme="minorBidi" w:cs="David"/>
          <w:noProof w:val="0"/>
          <w:szCs w:val="20"/>
          <w:rtl/>
        </w:rPr>
        <w:t>(1)</w:t>
      </w:r>
      <w:r w:rsidRPr="001329C7">
        <w:rPr>
          <w:rFonts w:asciiTheme="minorBidi" w:hAnsiTheme="minorBidi" w:cs="David"/>
          <w:noProof w:val="0"/>
          <w:szCs w:val="20"/>
          <w:rtl/>
        </w:rPr>
        <w:tab/>
        <w:t>רכישת שליטה בגוף פיננסי, או רכישת אמצעי שליטה נוספים בגוף הפיננסי לאחר רכישת השליטה בו;</w:t>
      </w:r>
    </w:p>
    <w:p w:rsidR="007B4C3E" w:rsidRPr="001329C7" w:rsidRDefault="007B4C3E" w:rsidP="007B4C3E">
      <w:pPr>
        <w:pStyle w:val="P00"/>
        <w:spacing w:before="0"/>
        <w:ind w:left="1021" w:right="1134"/>
        <w:rPr>
          <w:rFonts w:asciiTheme="minorBidi" w:hAnsiTheme="minorBidi" w:cs="David"/>
          <w:noProof w:val="0"/>
          <w:szCs w:val="20"/>
          <w:rtl/>
        </w:rPr>
      </w:pPr>
      <w:r w:rsidRPr="001329C7">
        <w:rPr>
          <w:rFonts w:asciiTheme="minorBidi" w:hAnsiTheme="minorBidi" w:cs="David"/>
          <w:noProof w:val="0"/>
          <w:szCs w:val="20"/>
          <w:rtl/>
        </w:rPr>
        <w:t>(2)</w:t>
      </w:r>
      <w:r w:rsidRPr="001329C7">
        <w:rPr>
          <w:rFonts w:asciiTheme="minorBidi" w:hAnsiTheme="minorBidi" w:cs="David"/>
          <w:noProof w:val="0"/>
          <w:szCs w:val="20"/>
          <w:rtl/>
        </w:rPr>
        <w:tab/>
        <w:t>רכישת פעילות של גוף פיננסי;</w:t>
      </w:r>
    </w:p>
    <w:p w:rsidR="007B4C3E" w:rsidRPr="001329C7" w:rsidRDefault="007B4C3E" w:rsidP="007B4C3E">
      <w:pPr>
        <w:pStyle w:val="P00"/>
        <w:spacing w:before="0"/>
        <w:ind w:left="1021" w:right="1134"/>
        <w:rPr>
          <w:rFonts w:asciiTheme="minorBidi" w:hAnsiTheme="minorBidi" w:cs="David"/>
          <w:noProof w:val="0"/>
          <w:szCs w:val="20"/>
          <w:rtl/>
        </w:rPr>
      </w:pPr>
      <w:r w:rsidRPr="001329C7">
        <w:rPr>
          <w:rFonts w:asciiTheme="minorBidi" w:hAnsiTheme="minorBidi" w:cs="David"/>
          <w:noProof w:val="0"/>
          <w:szCs w:val="20"/>
          <w:rtl/>
        </w:rPr>
        <w:t>(3)</w:t>
      </w:r>
      <w:r w:rsidRPr="001329C7">
        <w:rPr>
          <w:rFonts w:asciiTheme="minorBidi" w:hAnsiTheme="minorBidi" w:cs="David"/>
          <w:noProof w:val="0"/>
          <w:szCs w:val="20"/>
          <w:rtl/>
        </w:rPr>
        <w:tab/>
        <w:t>מימון מיזם ציבורי בשיתוף המגזר הפרטי, המבוצע בישראל, שלהסכם המימון שלו ניתן אישור הגורם הציבורי האחראי על המיזם; לעניין זה, "גורם ציבורי" – הממשלה או חברה ממשלתית כהגדרתה בחוק החברות הממשלתיות, המשמשת זרוע לביצוע המיזם הציבורי על פי החלטת הממשלה;</w:t>
      </w:r>
    </w:p>
  </w:footnote>
  <w:footnote w:id="22">
    <w:p w:rsidR="007B4C3E" w:rsidRPr="001329C7" w:rsidRDefault="007B4C3E" w:rsidP="007B4C3E">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w:t>
      </w:r>
      <w:r w:rsidRPr="001329C7">
        <w:rPr>
          <w:rFonts w:asciiTheme="minorBidi" w:hAnsiTheme="minorBidi" w:cs="David" w:hint="eastAsia"/>
          <w:rtl/>
        </w:rPr>
        <w:t>אם</w:t>
      </w:r>
      <w:r w:rsidRPr="001329C7">
        <w:rPr>
          <w:rFonts w:asciiTheme="minorBidi" w:hAnsiTheme="minorBidi" w:cs="David"/>
          <w:rtl/>
        </w:rPr>
        <w:t xml:space="preserve"> </w:t>
      </w:r>
      <w:r w:rsidRPr="001329C7">
        <w:rPr>
          <w:rFonts w:asciiTheme="minorBidi" w:hAnsiTheme="minorBidi" w:cs="David" w:hint="eastAsia"/>
          <w:rtl/>
        </w:rPr>
        <w:t>לתאגיד</w:t>
      </w:r>
      <w:r w:rsidRPr="001329C7">
        <w:rPr>
          <w:rFonts w:asciiTheme="minorBidi" w:hAnsiTheme="minorBidi" w:cs="David"/>
          <w:rtl/>
        </w:rPr>
        <w:t xml:space="preserve"> ב </w:t>
      </w:r>
      <w:r w:rsidRPr="001329C7">
        <w:rPr>
          <w:rFonts w:asciiTheme="minorBidi" w:hAnsiTheme="minorBidi" w:cs="David" w:hint="eastAsia"/>
          <w:rtl/>
        </w:rPr>
        <w:t>אין</w:t>
      </w:r>
      <w:r w:rsidRPr="001329C7">
        <w:rPr>
          <w:rFonts w:asciiTheme="minorBidi" w:hAnsiTheme="minorBidi" w:cs="David"/>
          <w:rtl/>
        </w:rPr>
        <w:t xml:space="preserve"> </w:t>
      </w:r>
      <w:r w:rsidRPr="001329C7">
        <w:rPr>
          <w:rFonts w:asciiTheme="minorBidi" w:hAnsiTheme="minorBidi" w:cs="David" w:hint="eastAsia"/>
          <w:rtl/>
        </w:rPr>
        <w:t>חובות</w:t>
      </w:r>
      <w:r w:rsidRPr="001329C7">
        <w:rPr>
          <w:rFonts w:asciiTheme="minorBidi" w:hAnsiTheme="minorBidi" w:cs="David"/>
          <w:rtl/>
        </w:rPr>
        <w:t xml:space="preserve"> </w:t>
      </w:r>
      <w:r w:rsidRPr="001329C7">
        <w:rPr>
          <w:rFonts w:asciiTheme="minorBidi" w:hAnsiTheme="minorBidi" w:cs="David" w:hint="eastAsia"/>
          <w:rtl/>
        </w:rPr>
        <w:t>למוסדות</w:t>
      </w:r>
      <w:r w:rsidRPr="001329C7">
        <w:rPr>
          <w:rFonts w:asciiTheme="minorBidi" w:hAnsiTheme="minorBidi" w:cs="David"/>
          <w:rtl/>
        </w:rPr>
        <w:t xml:space="preserve"> </w:t>
      </w:r>
      <w:r w:rsidRPr="001329C7">
        <w:rPr>
          <w:rFonts w:asciiTheme="minorBidi" w:hAnsiTheme="minorBidi" w:cs="David" w:hint="eastAsia"/>
          <w:rtl/>
        </w:rPr>
        <w:t>בנקאיים</w:t>
      </w:r>
      <w:r w:rsidRPr="001329C7">
        <w:rPr>
          <w:rFonts w:asciiTheme="minorBidi" w:hAnsiTheme="minorBidi" w:cs="David"/>
          <w:rtl/>
        </w:rPr>
        <w:t xml:space="preserve">, </w:t>
      </w:r>
      <w:r w:rsidRPr="001329C7">
        <w:rPr>
          <w:rFonts w:asciiTheme="minorBidi" w:hAnsiTheme="minorBidi" w:cs="David" w:hint="eastAsia"/>
          <w:rtl/>
        </w:rPr>
        <w:t>ההלוואה</w:t>
      </w:r>
      <w:r w:rsidRPr="001329C7">
        <w:rPr>
          <w:rFonts w:asciiTheme="minorBidi" w:hAnsiTheme="minorBidi" w:cs="David"/>
          <w:rtl/>
        </w:rPr>
        <w:t xml:space="preserve"> </w:t>
      </w:r>
      <w:r w:rsidRPr="001329C7">
        <w:rPr>
          <w:rFonts w:asciiTheme="minorBidi" w:hAnsiTheme="minorBidi" w:cs="David" w:hint="eastAsia"/>
          <w:rtl/>
        </w:rPr>
        <w:t>המתוארת</w:t>
      </w:r>
      <w:r w:rsidRPr="001329C7">
        <w:rPr>
          <w:rFonts w:asciiTheme="minorBidi" w:hAnsiTheme="minorBidi" w:cs="David"/>
          <w:rtl/>
        </w:rPr>
        <w:t xml:space="preserve"> </w:t>
      </w:r>
      <w:r w:rsidRPr="001329C7">
        <w:rPr>
          <w:rFonts w:asciiTheme="minorBidi" w:hAnsiTheme="minorBidi" w:cs="David" w:hint="eastAsia"/>
          <w:rtl/>
        </w:rPr>
        <w:t>לא</w:t>
      </w:r>
      <w:r w:rsidRPr="001329C7">
        <w:rPr>
          <w:rFonts w:asciiTheme="minorBidi" w:hAnsiTheme="minorBidi" w:cs="David"/>
          <w:rtl/>
        </w:rPr>
        <w:t xml:space="preserve"> </w:t>
      </w:r>
      <w:r w:rsidRPr="001329C7">
        <w:rPr>
          <w:rFonts w:asciiTheme="minorBidi" w:hAnsiTheme="minorBidi" w:cs="David" w:hint="eastAsia"/>
          <w:rtl/>
        </w:rPr>
        <w:t>תשפיע</w:t>
      </w:r>
      <w:r w:rsidRPr="001329C7">
        <w:rPr>
          <w:rFonts w:asciiTheme="minorBidi" w:hAnsiTheme="minorBidi" w:cs="David"/>
          <w:rtl/>
        </w:rPr>
        <w:t xml:space="preserve"> </w:t>
      </w:r>
      <w:r w:rsidRPr="001329C7">
        <w:rPr>
          <w:rFonts w:asciiTheme="minorBidi" w:hAnsiTheme="minorBidi" w:cs="David" w:hint="eastAsia"/>
          <w:rtl/>
        </w:rPr>
        <w:t>על</w:t>
      </w:r>
      <w:r w:rsidRPr="001329C7">
        <w:rPr>
          <w:rFonts w:asciiTheme="minorBidi" w:hAnsiTheme="minorBidi" w:cs="David"/>
          <w:rtl/>
        </w:rPr>
        <w:t xml:space="preserve"> גובה האשראי הקובע של תאגיד ב.</w:t>
      </w:r>
    </w:p>
  </w:footnote>
  <w:footnote w:id="23">
    <w:p w:rsidR="007B4C3E" w:rsidRPr="001329C7" w:rsidRDefault="007B4C3E" w:rsidP="00B402BD">
      <w:pPr>
        <w:pStyle w:val="FootnoteText"/>
        <w:rPr>
          <w:rFonts w:asciiTheme="minorBidi" w:hAnsiTheme="minorBidi" w:cs="David"/>
        </w:rPr>
      </w:pPr>
      <w:r w:rsidRPr="001329C7">
        <w:rPr>
          <w:rStyle w:val="FootnoteReference"/>
          <w:rFonts w:asciiTheme="minorBidi" w:hAnsiTheme="minorBidi" w:cs="David"/>
        </w:rPr>
        <w:footnoteRef/>
      </w:r>
      <w:r w:rsidRPr="001329C7">
        <w:rPr>
          <w:rFonts w:asciiTheme="minorBidi" w:hAnsiTheme="minorBidi" w:cs="David"/>
          <w:rtl/>
        </w:rPr>
        <w:t xml:space="preserve"> השוו לסעיף 30(א)(2) לחוק, שמורה כי יש להחשיב את מלוא האשראי הקובע של תאגיד נשלט במצב של שליטה משותפת, כמפורט להלן.</w:t>
      </w:r>
    </w:p>
  </w:footnote>
  <w:footnote w:id="24">
    <w:p w:rsidR="007B4C3E" w:rsidRPr="001329C7" w:rsidRDefault="007B4C3E" w:rsidP="00B402BD">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w:t>
      </w:r>
      <w:r w:rsidR="00B402BD">
        <w:rPr>
          <w:rFonts w:asciiTheme="minorBidi" w:hAnsiTheme="minorBidi" w:cs="David" w:hint="cs"/>
          <w:rtl/>
        </w:rPr>
        <w:t>ו</w:t>
      </w:r>
      <w:r w:rsidRPr="001329C7">
        <w:rPr>
          <w:rFonts w:asciiTheme="minorBidi" w:hAnsiTheme="minorBidi" w:cs="David"/>
          <w:rtl/>
        </w:rPr>
        <w:t xml:space="preserve"> סעיף 30(א)(2) לחוק. </w:t>
      </w:r>
    </w:p>
  </w:footnote>
  <w:footnote w:id="25">
    <w:p w:rsidR="007B4C3E" w:rsidRPr="001329C7" w:rsidRDefault="007B4C3E" w:rsidP="007B4C3E">
      <w:pPr>
        <w:pStyle w:val="FootnoteText"/>
        <w:rPr>
          <w:rFonts w:asciiTheme="minorBidi" w:hAnsiTheme="minorBidi" w:cs="David"/>
          <w:rtl/>
        </w:rPr>
      </w:pPr>
      <w:r w:rsidRPr="001329C7">
        <w:rPr>
          <w:rStyle w:val="FootnoteReference"/>
          <w:rFonts w:asciiTheme="minorBidi" w:hAnsiTheme="minorBidi" w:cs="David"/>
        </w:rPr>
        <w:footnoteRef/>
      </w:r>
      <w:r w:rsidRPr="001329C7">
        <w:rPr>
          <w:rFonts w:asciiTheme="minorBidi" w:hAnsiTheme="minorBidi" w:cs="David"/>
          <w:rtl/>
        </w:rPr>
        <w:t xml:space="preserve"> ראו סעיף 30(ה) לחוק.</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600" w:rsidRPr="009266FF" w:rsidRDefault="00D17600" w:rsidP="00D74980">
    <w:pPr>
      <w:pStyle w:val="Header"/>
      <w:tabs>
        <w:tab w:val="clear" w:pos="4153"/>
      </w:tabs>
      <w:jc w:val="center"/>
      <w:rPr>
        <w:rFonts w:cs="David"/>
        <w:rtl/>
      </w:rPr>
    </w:pPr>
  </w:p>
  <w:p w:rsidR="00D17600" w:rsidRPr="002C6D31" w:rsidRDefault="00D17600" w:rsidP="00D74980">
    <w:pPr>
      <w:pStyle w:val="Header"/>
      <w:bidi w:val="0"/>
      <w:rPr>
        <w:rFonts w:cs="David"/>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9C7" w:rsidRDefault="000517CE" w:rsidP="001329C7">
    <w:pPr>
      <w:pStyle w:val="Header"/>
      <w:tabs>
        <w:tab w:val="left" w:pos="3664"/>
        <w:tab w:val="center" w:pos="4607"/>
      </w:tabs>
      <w:jc w:val="center"/>
      <w:rPr>
        <w:rtl/>
      </w:rPr>
    </w:pPr>
    <w:sdt>
      <w:sdtPr>
        <w:rPr>
          <w:rtl/>
        </w:rPr>
        <w:id w:val="-1544975421"/>
        <w:docPartObj>
          <w:docPartGallery w:val="Watermarks"/>
          <w:docPartUnique/>
        </w:docPartObj>
      </w:sdtPr>
      <w:sdtEndPr/>
      <w:sdtContent>
        <w:r>
          <w:rPr>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טיוטה"/>
              <w10:wrap anchorx="margin" anchory="margin"/>
            </v:shape>
          </w:pict>
        </w:r>
      </w:sdtContent>
    </w:sdt>
    <w:r w:rsidR="001329C7">
      <w:rPr>
        <w:noProof/>
      </w:rPr>
      <w:drawing>
        <wp:inline distT="0" distB="0" distL="0" distR="0" wp14:anchorId="0F356F9A" wp14:editId="10072DFB">
          <wp:extent cx="647700" cy="647700"/>
          <wp:effectExtent l="0" t="0" r="0" b="0"/>
          <wp:docPr id="1" name="Picture 1" descr="C:\Users\yairaf\AppData\Local\Microsoft\Windows\Temporary Internet Files\Content.Word\semelmedin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iraf\AppData\Local\Microsoft\Windows\Temporary Internet Files\Content.Word\semelmedina[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rsidR="007B4C3E" w:rsidRDefault="001329C7" w:rsidP="00D923C1">
    <w:pPr>
      <w:pStyle w:val="Header"/>
      <w:jc w:val="center"/>
    </w:pPr>
    <w:r w:rsidRPr="009266FF">
      <w:rPr>
        <w:rFonts w:ascii="Garamond" w:hAnsi="Garamond" w:cs="David"/>
        <w:b/>
        <w:bCs/>
        <w:sz w:val="24"/>
        <w:rtl/>
      </w:rPr>
      <w:t>מדינת ישראל</w:t>
    </w:r>
    <w:r w:rsidRPr="009266FF">
      <w:rPr>
        <w:rFonts w:ascii="Garamond" w:hAnsi="Garamond" w:cs="David"/>
        <w:b/>
        <w:bCs/>
        <w:sz w:val="24"/>
        <w:rtl/>
      </w:rPr>
      <w:br/>
      <w:t>הוועדה לצמצום הריכוזיות</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A5269"/>
    <w:multiLevelType w:val="hybridMultilevel"/>
    <w:tmpl w:val="7FEAA36E"/>
    <w:lvl w:ilvl="0" w:tplc="1DE07A72">
      <w:start w:val="1"/>
      <w:numFmt w:val="hebrew1"/>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173A64"/>
    <w:multiLevelType w:val="hybridMultilevel"/>
    <w:tmpl w:val="7E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A1FA4"/>
    <w:multiLevelType w:val="hybridMultilevel"/>
    <w:tmpl w:val="58E4793A"/>
    <w:lvl w:ilvl="0" w:tplc="1E74C996">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7A1DB6"/>
    <w:multiLevelType w:val="hybridMultilevel"/>
    <w:tmpl w:val="345C3A18"/>
    <w:lvl w:ilvl="0" w:tplc="0BA04D98">
      <w:start w:val="1"/>
      <w:numFmt w:val="hebrew1"/>
      <w:lvlText w:val="%1."/>
      <w:lvlJc w:val="left"/>
      <w:pPr>
        <w:ind w:left="785" w:hanging="360"/>
      </w:pPr>
      <w:rPr>
        <w:rFonts w:hint="default"/>
        <w:b w:val="0"/>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3CC21F5E"/>
    <w:multiLevelType w:val="hybridMultilevel"/>
    <w:tmpl w:val="881C2B52"/>
    <w:lvl w:ilvl="0" w:tplc="4E2AF7F4">
      <w:start w:val="1"/>
      <w:numFmt w:val="decimal"/>
      <w:pStyle w:val="ListParagraph"/>
      <w:lvlText w:val="%1."/>
      <w:lvlJc w:val="left"/>
      <w:pPr>
        <w:ind w:left="644" w:hanging="360"/>
      </w:pPr>
      <w:rPr>
        <w:rFonts w:cs="David" w:hint="default"/>
        <w:b w:val="0"/>
        <w:bCs w:val="0"/>
        <w:sz w:val="24"/>
        <w:szCs w:val="24"/>
        <w:lang w:val="en-US" w:bidi="he-IL"/>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5" w15:restartNumberingAfterBreak="0">
    <w:nsid w:val="4EF5519B"/>
    <w:multiLevelType w:val="hybridMultilevel"/>
    <w:tmpl w:val="8F542F16"/>
    <w:lvl w:ilvl="0" w:tplc="E8325B90">
      <w:start w:val="1"/>
      <w:numFmt w:val="hebrew1"/>
      <w:lvlText w:val="%1."/>
      <w:lvlJc w:val="left"/>
      <w:pPr>
        <w:ind w:left="1004" w:hanging="360"/>
      </w:pPr>
      <w:rPr>
        <w:rFonts w:asciiTheme="minorHAnsi" w:eastAsiaTheme="minorHAnsi" w:hAnsiTheme="minorHAnsi" w:cs="David"/>
        <w:b w:val="0"/>
        <w:bCs w:val="0"/>
      </w:rPr>
    </w:lvl>
    <w:lvl w:ilvl="1" w:tplc="0BC04A96">
      <w:start w:val="1"/>
      <w:numFmt w:val="hebrew1"/>
      <w:lvlText w:val="%2."/>
      <w:lvlJc w:val="center"/>
      <w:pPr>
        <w:ind w:left="1724" w:hanging="360"/>
      </w:pPr>
      <w:rPr>
        <w:lang w:val="en-U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605278D"/>
    <w:multiLevelType w:val="hybridMultilevel"/>
    <w:tmpl w:val="030E77E2"/>
    <w:lvl w:ilvl="0" w:tplc="F6CA6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D37923"/>
    <w:multiLevelType w:val="hybridMultilevel"/>
    <w:tmpl w:val="72382D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982779E"/>
    <w:multiLevelType w:val="hybridMultilevel"/>
    <w:tmpl w:val="4992E0E8"/>
    <w:lvl w:ilvl="0" w:tplc="B60EAD9C">
      <w:start w:val="1"/>
      <w:numFmt w:val="hebrew1"/>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637F25"/>
    <w:multiLevelType w:val="hybridMultilevel"/>
    <w:tmpl w:val="52B09E3A"/>
    <w:lvl w:ilvl="0" w:tplc="C0CE431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4"/>
  </w:num>
  <w:num w:numId="4">
    <w:abstractNumId w:val="4"/>
  </w:num>
  <w:num w:numId="5">
    <w:abstractNumId w:val="4"/>
  </w:num>
  <w:num w:numId="6">
    <w:abstractNumId w:val="4"/>
  </w:num>
  <w:num w:numId="7">
    <w:abstractNumId w:val="4"/>
    <w:lvlOverride w:ilvl="0">
      <w:startOverride w:val="1"/>
    </w:lvlOverride>
  </w:num>
  <w:num w:numId="8">
    <w:abstractNumId w:val="4"/>
  </w:num>
  <w:num w:numId="9">
    <w:abstractNumId w:val="6"/>
  </w:num>
  <w:num w:numId="10">
    <w:abstractNumId w:val="0"/>
  </w:num>
  <w:num w:numId="11">
    <w:abstractNumId w:val="8"/>
  </w:num>
  <w:num w:numId="12">
    <w:abstractNumId w:val="3"/>
  </w:num>
  <w:num w:numId="13">
    <w:abstractNumId w:val="1"/>
  </w:num>
  <w:num w:numId="14">
    <w:abstractNumId w:val="7"/>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861"/>
    <w:rsid w:val="00010A83"/>
    <w:rsid w:val="00013411"/>
    <w:rsid w:val="00021FCE"/>
    <w:rsid w:val="00024E4D"/>
    <w:rsid w:val="000517CE"/>
    <w:rsid w:val="00060515"/>
    <w:rsid w:val="000674DC"/>
    <w:rsid w:val="00071CB7"/>
    <w:rsid w:val="00073842"/>
    <w:rsid w:val="0007678E"/>
    <w:rsid w:val="000A025E"/>
    <w:rsid w:val="000B0016"/>
    <w:rsid w:val="000B1046"/>
    <w:rsid w:val="000B362C"/>
    <w:rsid w:val="000C06D6"/>
    <w:rsid w:val="000D3826"/>
    <w:rsid w:val="000D5286"/>
    <w:rsid w:val="000E2BE7"/>
    <w:rsid w:val="0010425F"/>
    <w:rsid w:val="00107239"/>
    <w:rsid w:val="00117105"/>
    <w:rsid w:val="00117ACD"/>
    <w:rsid w:val="0012661F"/>
    <w:rsid w:val="001329C7"/>
    <w:rsid w:val="001419EB"/>
    <w:rsid w:val="0014389A"/>
    <w:rsid w:val="00145AE7"/>
    <w:rsid w:val="00145C12"/>
    <w:rsid w:val="00151B69"/>
    <w:rsid w:val="00164195"/>
    <w:rsid w:val="00166725"/>
    <w:rsid w:val="00176B95"/>
    <w:rsid w:val="0018616A"/>
    <w:rsid w:val="001865EF"/>
    <w:rsid w:val="001A7FB5"/>
    <w:rsid w:val="001B6F75"/>
    <w:rsid w:val="001B7477"/>
    <w:rsid w:val="001F101B"/>
    <w:rsid w:val="001F3AEE"/>
    <w:rsid w:val="001F4A50"/>
    <w:rsid w:val="002057D6"/>
    <w:rsid w:val="00207B20"/>
    <w:rsid w:val="00232C80"/>
    <w:rsid w:val="00240473"/>
    <w:rsid w:val="002424E8"/>
    <w:rsid w:val="0024360D"/>
    <w:rsid w:val="002459B9"/>
    <w:rsid w:val="00246680"/>
    <w:rsid w:val="002533DA"/>
    <w:rsid w:val="0025435B"/>
    <w:rsid w:val="00276B67"/>
    <w:rsid w:val="00284971"/>
    <w:rsid w:val="002948CB"/>
    <w:rsid w:val="002959E8"/>
    <w:rsid w:val="002A20D4"/>
    <w:rsid w:val="002B53A9"/>
    <w:rsid w:val="002B7908"/>
    <w:rsid w:val="002E0C25"/>
    <w:rsid w:val="002E29A3"/>
    <w:rsid w:val="002E431C"/>
    <w:rsid w:val="002E5FE0"/>
    <w:rsid w:val="002F40DA"/>
    <w:rsid w:val="002F77DE"/>
    <w:rsid w:val="003027C7"/>
    <w:rsid w:val="0030441A"/>
    <w:rsid w:val="00306A1F"/>
    <w:rsid w:val="00315A75"/>
    <w:rsid w:val="003170CC"/>
    <w:rsid w:val="00320249"/>
    <w:rsid w:val="00325229"/>
    <w:rsid w:val="00331910"/>
    <w:rsid w:val="00333A7F"/>
    <w:rsid w:val="00334558"/>
    <w:rsid w:val="00334D8F"/>
    <w:rsid w:val="00343149"/>
    <w:rsid w:val="00347F56"/>
    <w:rsid w:val="00355B31"/>
    <w:rsid w:val="00356FD4"/>
    <w:rsid w:val="003648A6"/>
    <w:rsid w:val="0037790D"/>
    <w:rsid w:val="00380A46"/>
    <w:rsid w:val="003B6520"/>
    <w:rsid w:val="003C1076"/>
    <w:rsid w:val="003C30F5"/>
    <w:rsid w:val="003C3B7A"/>
    <w:rsid w:val="003C5B42"/>
    <w:rsid w:val="003D3D1F"/>
    <w:rsid w:val="003F76DB"/>
    <w:rsid w:val="004102E4"/>
    <w:rsid w:val="00413030"/>
    <w:rsid w:val="00420EC4"/>
    <w:rsid w:val="00433E12"/>
    <w:rsid w:val="004400CB"/>
    <w:rsid w:val="00444FB0"/>
    <w:rsid w:val="00455672"/>
    <w:rsid w:val="0046026E"/>
    <w:rsid w:val="00461F62"/>
    <w:rsid w:val="00465A2A"/>
    <w:rsid w:val="00467742"/>
    <w:rsid w:val="00467C64"/>
    <w:rsid w:val="00470540"/>
    <w:rsid w:val="00490861"/>
    <w:rsid w:val="00492A80"/>
    <w:rsid w:val="004976AA"/>
    <w:rsid w:val="004B0CEF"/>
    <w:rsid w:val="004B60A7"/>
    <w:rsid w:val="004C3837"/>
    <w:rsid w:val="004D2008"/>
    <w:rsid w:val="004E058C"/>
    <w:rsid w:val="005130D4"/>
    <w:rsid w:val="005300D5"/>
    <w:rsid w:val="00531F39"/>
    <w:rsid w:val="0054200D"/>
    <w:rsid w:val="00542AB6"/>
    <w:rsid w:val="00542EBE"/>
    <w:rsid w:val="005465C8"/>
    <w:rsid w:val="0054778F"/>
    <w:rsid w:val="00552569"/>
    <w:rsid w:val="005568E8"/>
    <w:rsid w:val="00560DE7"/>
    <w:rsid w:val="005850D5"/>
    <w:rsid w:val="005850E2"/>
    <w:rsid w:val="00585789"/>
    <w:rsid w:val="00587E31"/>
    <w:rsid w:val="00591757"/>
    <w:rsid w:val="005962E8"/>
    <w:rsid w:val="005A2090"/>
    <w:rsid w:val="005A62BB"/>
    <w:rsid w:val="005E49AB"/>
    <w:rsid w:val="005E79B1"/>
    <w:rsid w:val="005F13DE"/>
    <w:rsid w:val="005F762E"/>
    <w:rsid w:val="00600979"/>
    <w:rsid w:val="00611EA6"/>
    <w:rsid w:val="00624BF2"/>
    <w:rsid w:val="00642411"/>
    <w:rsid w:val="00661180"/>
    <w:rsid w:val="006626E8"/>
    <w:rsid w:val="00677E1B"/>
    <w:rsid w:val="00684D05"/>
    <w:rsid w:val="00696F47"/>
    <w:rsid w:val="006A13E9"/>
    <w:rsid w:val="006A4E0C"/>
    <w:rsid w:val="006B6BAF"/>
    <w:rsid w:val="006C5963"/>
    <w:rsid w:val="006C6745"/>
    <w:rsid w:val="006D31F7"/>
    <w:rsid w:val="006D56C5"/>
    <w:rsid w:val="006E243B"/>
    <w:rsid w:val="006E421B"/>
    <w:rsid w:val="006F33B1"/>
    <w:rsid w:val="007067B3"/>
    <w:rsid w:val="0071640C"/>
    <w:rsid w:val="007369DF"/>
    <w:rsid w:val="00753887"/>
    <w:rsid w:val="00753F92"/>
    <w:rsid w:val="00764028"/>
    <w:rsid w:val="00764E8A"/>
    <w:rsid w:val="00775618"/>
    <w:rsid w:val="00777FE9"/>
    <w:rsid w:val="007838B8"/>
    <w:rsid w:val="007925BF"/>
    <w:rsid w:val="00795FA4"/>
    <w:rsid w:val="007A2F34"/>
    <w:rsid w:val="007A35EB"/>
    <w:rsid w:val="007B067E"/>
    <w:rsid w:val="007B075B"/>
    <w:rsid w:val="007B4C3E"/>
    <w:rsid w:val="007B5096"/>
    <w:rsid w:val="007C276E"/>
    <w:rsid w:val="007C3801"/>
    <w:rsid w:val="007C7426"/>
    <w:rsid w:val="007F2E7A"/>
    <w:rsid w:val="007F3DB2"/>
    <w:rsid w:val="008025FA"/>
    <w:rsid w:val="0081077D"/>
    <w:rsid w:val="008222F7"/>
    <w:rsid w:val="0082252B"/>
    <w:rsid w:val="00822AE1"/>
    <w:rsid w:val="00822B0A"/>
    <w:rsid w:val="00826004"/>
    <w:rsid w:val="008260C7"/>
    <w:rsid w:val="0082718E"/>
    <w:rsid w:val="00832511"/>
    <w:rsid w:val="0085370A"/>
    <w:rsid w:val="008732E5"/>
    <w:rsid w:val="00881152"/>
    <w:rsid w:val="0088314F"/>
    <w:rsid w:val="0088642F"/>
    <w:rsid w:val="008A1111"/>
    <w:rsid w:val="008A65DC"/>
    <w:rsid w:val="008B1AE6"/>
    <w:rsid w:val="008B7DA0"/>
    <w:rsid w:val="008D14CF"/>
    <w:rsid w:val="008E3481"/>
    <w:rsid w:val="008E42CB"/>
    <w:rsid w:val="008E592F"/>
    <w:rsid w:val="008F213D"/>
    <w:rsid w:val="008F483E"/>
    <w:rsid w:val="008F5EB3"/>
    <w:rsid w:val="00915B53"/>
    <w:rsid w:val="00925086"/>
    <w:rsid w:val="009303AE"/>
    <w:rsid w:val="00930850"/>
    <w:rsid w:val="009376D4"/>
    <w:rsid w:val="00950E7A"/>
    <w:rsid w:val="00954441"/>
    <w:rsid w:val="00962E13"/>
    <w:rsid w:val="0099234C"/>
    <w:rsid w:val="009924DD"/>
    <w:rsid w:val="009953EC"/>
    <w:rsid w:val="009961C7"/>
    <w:rsid w:val="009A6072"/>
    <w:rsid w:val="009C65B6"/>
    <w:rsid w:val="009D431B"/>
    <w:rsid w:val="009D586B"/>
    <w:rsid w:val="009D6DDE"/>
    <w:rsid w:val="009E1141"/>
    <w:rsid w:val="009E214A"/>
    <w:rsid w:val="009E65D1"/>
    <w:rsid w:val="009F5872"/>
    <w:rsid w:val="00A00C8B"/>
    <w:rsid w:val="00A0720D"/>
    <w:rsid w:val="00A11BB1"/>
    <w:rsid w:val="00A1695E"/>
    <w:rsid w:val="00A60E31"/>
    <w:rsid w:val="00A70577"/>
    <w:rsid w:val="00A841C8"/>
    <w:rsid w:val="00A92F3D"/>
    <w:rsid w:val="00A93FAF"/>
    <w:rsid w:val="00AA5714"/>
    <w:rsid w:val="00AB24FD"/>
    <w:rsid w:val="00AB6DCD"/>
    <w:rsid w:val="00AC5F35"/>
    <w:rsid w:val="00AE159A"/>
    <w:rsid w:val="00AE2C2D"/>
    <w:rsid w:val="00AE60B9"/>
    <w:rsid w:val="00AE6809"/>
    <w:rsid w:val="00AF3510"/>
    <w:rsid w:val="00B07AE4"/>
    <w:rsid w:val="00B10E77"/>
    <w:rsid w:val="00B146EA"/>
    <w:rsid w:val="00B26FAE"/>
    <w:rsid w:val="00B3212E"/>
    <w:rsid w:val="00B36571"/>
    <w:rsid w:val="00B402BD"/>
    <w:rsid w:val="00B715FA"/>
    <w:rsid w:val="00B74D76"/>
    <w:rsid w:val="00B946B6"/>
    <w:rsid w:val="00BA1692"/>
    <w:rsid w:val="00BB2F2F"/>
    <w:rsid w:val="00BC4674"/>
    <w:rsid w:val="00BC5200"/>
    <w:rsid w:val="00BC78FC"/>
    <w:rsid w:val="00BF43A9"/>
    <w:rsid w:val="00C11FB9"/>
    <w:rsid w:val="00C132C1"/>
    <w:rsid w:val="00C465BE"/>
    <w:rsid w:val="00C52EFF"/>
    <w:rsid w:val="00C54F1E"/>
    <w:rsid w:val="00C83A6D"/>
    <w:rsid w:val="00C83D86"/>
    <w:rsid w:val="00C91ABF"/>
    <w:rsid w:val="00CA584F"/>
    <w:rsid w:val="00CB609D"/>
    <w:rsid w:val="00CC518E"/>
    <w:rsid w:val="00CD7EA1"/>
    <w:rsid w:val="00D13460"/>
    <w:rsid w:val="00D16829"/>
    <w:rsid w:val="00D17600"/>
    <w:rsid w:val="00D2246E"/>
    <w:rsid w:val="00D26820"/>
    <w:rsid w:val="00D2697D"/>
    <w:rsid w:val="00D26B42"/>
    <w:rsid w:val="00D356A9"/>
    <w:rsid w:val="00D3612B"/>
    <w:rsid w:val="00D368F7"/>
    <w:rsid w:val="00D54303"/>
    <w:rsid w:val="00D66B70"/>
    <w:rsid w:val="00D66FB9"/>
    <w:rsid w:val="00D67739"/>
    <w:rsid w:val="00D70160"/>
    <w:rsid w:val="00D709AD"/>
    <w:rsid w:val="00D725E1"/>
    <w:rsid w:val="00D74980"/>
    <w:rsid w:val="00D82BFD"/>
    <w:rsid w:val="00D868C9"/>
    <w:rsid w:val="00D923C1"/>
    <w:rsid w:val="00DA04E3"/>
    <w:rsid w:val="00DB0C51"/>
    <w:rsid w:val="00DB1F00"/>
    <w:rsid w:val="00DB544D"/>
    <w:rsid w:val="00DC54D0"/>
    <w:rsid w:val="00DC6D42"/>
    <w:rsid w:val="00DD1BCC"/>
    <w:rsid w:val="00DE0D2B"/>
    <w:rsid w:val="00E050CE"/>
    <w:rsid w:val="00E20348"/>
    <w:rsid w:val="00E21F1A"/>
    <w:rsid w:val="00E22692"/>
    <w:rsid w:val="00E272FB"/>
    <w:rsid w:val="00E27C1E"/>
    <w:rsid w:val="00E41894"/>
    <w:rsid w:val="00E433B9"/>
    <w:rsid w:val="00E51CC5"/>
    <w:rsid w:val="00E5403A"/>
    <w:rsid w:val="00E5696C"/>
    <w:rsid w:val="00E740BE"/>
    <w:rsid w:val="00E77687"/>
    <w:rsid w:val="00E807AD"/>
    <w:rsid w:val="00E96987"/>
    <w:rsid w:val="00EA3342"/>
    <w:rsid w:val="00EB2A17"/>
    <w:rsid w:val="00EB71C8"/>
    <w:rsid w:val="00EB7D9D"/>
    <w:rsid w:val="00EC20C2"/>
    <w:rsid w:val="00EE7264"/>
    <w:rsid w:val="00EF535E"/>
    <w:rsid w:val="00F01D0C"/>
    <w:rsid w:val="00F04186"/>
    <w:rsid w:val="00F05529"/>
    <w:rsid w:val="00F0728E"/>
    <w:rsid w:val="00F31089"/>
    <w:rsid w:val="00F31C00"/>
    <w:rsid w:val="00F46CB2"/>
    <w:rsid w:val="00F5094B"/>
    <w:rsid w:val="00F54E7E"/>
    <w:rsid w:val="00F623D0"/>
    <w:rsid w:val="00F867D0"/>
    <w:rsid w:val="00F95CF7"/>
    <w:rsid w:val="00F973A0"/>
    <w:rsid w:val="00FA2A07"/>
    <w:rsid w:val="00FA7D76"/>
    <w:rsid w:val="00FC4D42"/>
    <w:rsid w:val="00FD030C"/>
    <w:rsid w:val="00FF12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0C54E85A-80A7-4816-BA36-D15DA2C6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861"/>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autoRedefine/>
    <w:uiPriority w:val="34"/>
    <w:qFormat/>
    <w:rsid w:val="00145C12"/>
    <w:pPr>
      <w:numPr>
        <w:numId w:val="1"/>
      </w:numPr>
      <w:spacing w:after="0" w:line="360" w:lineRule="auto"/>
      <w:jc w:val="both"/>
    </w:pPr>
    <w:rPr>
      <w:rFonts w:cs="David"/>
      <w:sz w:val="23"/>
      <w:szCs w:val="23"/>
    </w:rPr>
  </w:style>
  <w:style w:type="character" w:customStyle="1" w:styleId="ListParagraphChar">
    <w:name w:val="List Paragraph Char"/>
    <w:basedOn w:val="DefaultParagraphFont"/>
    <w:link w:val="ListParagraph"/>
    <w:uiPriority w:val="34"/>
    <w:rsid w:val="00145C12"/>
    <w:rPr>
      <w:rFonts w:cs="David"/>
      <w:sz w:val="23"/>
      <w:szCs w:val="23"/>
    </w:rPr>
  </w:style>
  <w:style w:type="paragraph" w:styleId="Header">
    <w:name w:val="header"/>
    <w:basedOn w:val="Normal"/>
    <w:link w:val="HeaderChar"/>
    <w:unhideWhenUsed/>
    <w:rsid w:val="00490861"/>
    <w:pPr>
      <w:tabs>
        <w:tab w:val="center" w:pos="4153"/>
        <w:tab w:val="right" w:pos="8306"/>
      </w:tabs>
      <w:spacing w:after="0" w:line="240" w:lineRule="auto"/>
    </w:pPr>
  </w:style>
  <w:style w:type="character" w:customStyle="1" w:styleId="HeaderChar">
    <w:name w:val="Header Char"/>
    <w:basedOn w:val="DefaultParagraphFont"/>
    <w:link w:val="Header"/>
    <w:rsid w:val="00490861"/>
  </w:style>
  <w:style w:type="paragraph" w:styleId="FootnoteText">
    <w:name w:val="footnote text"/>
    <w:aliases w:val=" Char,FOOTNOTES,Footnote Text - Sharp,Footnote Text - Sharp Char,Footnote Text - Sharp Char Char,Footnote Text Char Char Char Char Char,Footnote reference,Sharp - Footnote Text,Sharp - Footnote Text1 Char,fn,footnote text,single space"/>
    <w:basedOn w:val="Normal"/>
    <w:link w:val="FootnoteTextChar"/>
    <w:uiPriority w:val="99"/>
    <w:unhideWhenUsed/>
    <w:rsid w:val="00490861"/>
    <w:pPr>
      <w:spacing w:after="0" w:line="240" w:lineRule="auto"/>
    </w:pPr>
    <w:rPr>
      <w:sz w:val="20"/>
      <w:szCs w:val="20"/>
    </w:rPr>
  </w:style>
  <w:style w:type="character" w:customStyle="1" w:styleId="FootnoteTextChar">
    <w:name w:val="Footnote Text Char"/>
    <w:aliases w:val=" Char Char,FOOTNOTES Char,Footnote Text - Sharp Char1,Footnote Text - Sharp Char Char1,Footnote Text - Sharp Char Char Char,Footnote Text Char Char Char Char Char Char,Footnote reference Char,Sharp - Footnote Text Char,fn Char"/>
    <w:basedOn w:val="DefaultParagraphFont"/>
    <w:link w:val="FootnoteText"/>
    <w:uiPriority w:val="99"/>
    <w:rsid w:val="00490861"/>
    <w:rPr>
      <w:sz w:val="20"/>
      <w:szCs w:val="20"/>
    </w:rPr>
  </w:style>
  <w:style w:type="character" w:styleId="FootnoteReference">
    <w:name w:val="footnote reference"/>
    <w:aliases w:val="header 3"/>
    <w:basedOn w:val="DefaultParagraphFont"/>
    <w:uiPriority w:val="99"/>
    <w:unhideWhenUsed/>
    <w:rsid w:val="00490861"/>
    <w:rPr>
      <w:vertAlign w:val="superscript"/>
    </w:rPr>
  </w:style>
  <w:style w:type="character" w:styleId="Hyperlink">
    <w:name w:val="Hyperlink"/>
    <w:basedOn w:val="DefaultParagraphFont"/>
    <w:uiPriority w:val="99"/>
    <w:unhideWhenUsed/>
    <w:rsid w:val="00490861"/>
    <w:rPr>
      <w:color w:val="0563C1" w:themeColor="hyperlink"/>
      <w:u w:val="single"/>
    </w:rPr>
  </w:style>
  <w:style w:type="paragraph" w:styleId="BalloonText">
    <w:name w:val="Balloon Text"/>
    <w:basedOn w:val="Normal"/>
    <w:link w:val="BalloonTextChar"/>
    <w:uiPriority w:val="99"/>
    <w:semiHidden/>
    <w:unhideWhenUsed/>
    <w:rsid w:val="009D586B"/>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9D586B"/>
    <w:rPr>
      <w:rFonts w:ascii="Tahoma" w:hAnsi="Tahoma" w:cs="Tahoma"/>
      <w:sz w:val="18"/>
      <w:szCs w:val="18"/>
    </w:rPr>
  </w:style>
  <w:style w:type="character" w:styleId="FollowedHyperlink">
    <w:name w:val="FollowedHyperlink"/>
    <w:basedOn w:val="DefaultParagraphFont"/>
    <w:uiPriority w:val="99"/>
    <w:semiHidden/>
    <w:unhideWhenUsed/>
    <w:rsid w:val="00145AE7"/>
    <w:rPr>
      <w:color w:val="954F72" w:themeColor="followedHyperlink"/>
      <w:u w:val="single"/>
    </w:rPr>
  </w:style>
  <w:style w:type="paragraph" w:styleId="NormalWeb">
    <w:name w:val="Normal (Web)"/>
    <w:basedOn w:val="Normal"/>
    <w:uiPriority w:val="99"/>
    <w:semiHidden/>
    <w:unhideWhenUsed/>
    <w:rsid w:val="007838B8"/>
    <w:pPr>
      <w:bidi w:val="0"/>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E96987"/>
    <w:rPr>
      <w:sz w:val="16"/>
      <w:szCs w:val="16"/>
    </w:rPr>
  </w:style>
  <w:style w:type="paragraph" w:styleId="CommentText">
    <w:name w:val="annotation text"/>
    <w:basedOn w:val="Normal"/>
    <w:link w:val="CommentTextChar"/>
    <w:uiPriority w:val="99"/>
    <w:semiHidden/>
    <w:unhideWhenUsed/>
    <w:rsid w:val="00E96987"/>
    <w:pPr>
      <w:spacing w:line="240" w:lineRule="auto"/>
    </w:pPr>
    <w:rPr>
      <w:sz w:val="20"/>
      <w:szCs w:val="20"/>
    </w:rPr>
  </w:style>
  <w:style w:type="character" w:customStyle="1" w:styleId="CommentTextChar">
    <w:name w:val="Comment Text Char"/>
    <w:basedOn w:val="DefaultParagraphFont"/>
    <w:link w:val="CommentText"/>
    <w:uiPriority w:val="99"/>
    <w:semiHidden/>
    <w:rsid w:val="00E96987"/>
    <w:rPr>
      <w:sz w:val="20"/>
      <w:szCs w:val="20"/>
    </w:rPr>
  </w:style>
  <w:style w:type="paragraph" w:styleId="CommentSubject">
    <w:name w:val="annotation subject"/>
    <w:basedOn w:val="CommentText"/>
    <w:next w:val="CommentText"/>
    <w:link w:val="CommentSubjectChar"/>
    <w:uiPriority w:val="99"/>
    <w:semiHidden/>
    <w:unhideWhenUsed/>
    <w:rsid w:val="00E96987"/>
    <w:rPr>
      <w:b/>
      <w:bCs/>
    </w:rPr>
  </w:style>
  <w:style w:type="character" w:customStyle="1" w:styleId="CommentSubjectChar">
    <w:name w:val="Comment Subject Char"/>
    <w:basedOn w:val="CommentTextChar"/>
    <w:link w:val="CommentSubject"/>
    <w:uiPriority w:val="99"/>
    <w:semiHidden/>
    <w:rsid w:val="00E96987"/>
    <w:rPr>
      <w:b/>
      <w:bCs/>
      <w:sz w:val="20"/>
      <w:szCs w:val="20"/>
    </w:rPr>
  </w:style>
  <w:style w:type="character" w:customStyle="1" w:styleId="default">
    <w:name w:val="default"/>
    <w:rsid w:val="007B4C3E"/>
    <w:rPr>
      <w:rFonts w:ascii="Times New Roman" w:hAnsi="Times New Roman" w:cs="Times New Roman"/>
      <w:sz w:val="20"/>
      <w:szCs w:val="26"/>
    </w:rPr>
  </w:style>
  <w:style w:type="paragraph" w:customStyle="1" w:styleId="P00">
    <w:name w:val="P00"/>
    <w:link w:val="P000"/>
    <w:rsid w:val="007B4C3E"/>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FrankRuehl"/>
      <w:noProof/>
      <w:sz w:val="20"/>
      <w:szCs w:val="26"/>
      <w:lang w:eastAsia="he-IL"/>
    </w:rPr>
  </w:style>
  <w:style w:type="character" w:customStyle="1" w:styleId="P000">
    <w:name w:val="P00 תו"/>
    <w:link w:val="P00"/>
    <w:rsid w:val="007B4C3E"/>
    <w:rPr>
      <w:rFonts w:ascii="Times New Roman" w:eastAsia="Times New Roman" w:hAnsi="Times New Roman" w:cs="FrankRuehl"/>
      <w:noProof/>
      <w:sz w:val="20"/>
      <w:szCs w:val="26"/>
      <w:lang w:eastAsia="he-IL"/>
    </w:rPr>
  </w:style>
  <w:style w:type="paragraph" w:styleId="Footer">
    <w:name w:val="footer"/>
    <w:basedOn w:val="Normal"/>
    <w:link w:val="FooterChar"/>
    <w:uiPriority w:val="99"/>
    <w:unhideWhenUsed/>
    <w:rsid w:val="007B4C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7B4C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30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CAD6A-B604-41FE-9C1D-66ED1F2EA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2789</Words>
  <Characters>13946</Characters>
  <Application>Microsoft Office Word</Application>
  <DocSecurity>4</DocSecurity>
  <Lines>116</Lines>
  <Paragraphs>33</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 Shmuel</dc:creator>
  <cp:keywords/>
  <dc:description/>
  <cp:lastModifiedBy>Melita Shafir</cp:lastModifiedBy>
  <cp:revision>2</cp:revision>
  <dcterms:created xsi:type="dcterms:W3CDTF">2019-10-07T07:15:00Z</dcterms:created>
  <dcterms:modified xsi:type="dcterms:W3CDTF">2019-10-07T07:15:00Z</dcterms:modified>
</cp:coreProperties>
</file>